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732C" w:rsidRDefault="0070732C" w:rsidP="0070732C">
      <w:pPr>
        <w:jc w:val="center"/>
        <w:rPr>
          <w:b/>
          <w:sz w:val="32"/>
          <w:szCs w:val="32"/>
          <w:lang w:val="uk-UA"/>
        </w:rPr>
      </w:pPr>
      <w:r w:rsidRPr="00E11530">
        <w:rPr>
          <w:b/>
          <w:sz w:val="32"/>
          <w:szCs w:val="32"/>
          <w:lang w:val="uk-UA"/>
        </w:rPr>
        <w:t xml:space="preserve">Пояснювальна </w:t>
      </w:r>
      <w:r w:rsidR="008C6A15" w:rsidRPr="005970DA">
        <w:rPr>
          <w:b/>
          <w:sz w:val="32"/>
          <w:szCs w:val="32"/>
        </w:rPr>
        <w:t xml:space="preserve"> </w:t>
      </w:r>
      <w:r w:rsidRPr="00E11530">
        <w:rPr>
          <w:b/>
          <w:sz w:val="32"/>
          <w:szCs w:val="32"/>
          <w:lang w:val="uk-UA"/>
        </w:rPr>
        <w:t>записка до про</w:t>
      </w:r>
      <w:r>
        <w:rPr>
          <w:b/>
          <w:sz w:val="32"/>
          <w:szCs w:val="32"/>
          <w:lang w:val="uk-UA"/>
        </w:rPr>
        <w:t>є</w:t>
      </w:r>
      <w:r w:rsidRPr="00E11530">
        <w:rPr>
          <w:b/>
          <w:sz w:val="32"/>
          <w:szCs w:val="32"/>
          <w:lang w:val="uk-UA"/>
        </w:rPr>
        <w:t>кту рішення</w:t>
      </w:r>
      <w:r>
        <w:rPr>
          <w:b/>
          <w:sz w:val="32"/>
          <w:szCs w:val="32"/>
          <w:lang w:val="uk-UA"/>
        </w:rPr>
        <w:t xml:space="preserve"> Носівської </w:t>
      </w:r>
      <w:r w:rsidRPr="00E11530">
        <w:rPr>
          <w:b/>
          <w:sz w:val="32"/>
          <w:szCs w:val="32"/>
          <w:lang w:val="uk-UA"/>
        </w:rPr>
        <w:t xml:space="preserve">міської </w:t>
      </w:r>
      <w:r>
        <w:rPr>
          <w:b/>
          <w:sz w:val="32"/>
          <w:szCs w:val="32"/>
          <w:lang w:val="uk-UA"/>
        </w:rPr>
        <w:t>територіальної громади</w:t>
      </w:r>
      <w:r w:rsidRPr="00E11530">
        <w:rPr>
          <w:b/>
          <w:sz w:val="32"/>
          <w:szCs w:val="32"/>
          <w:lang w:val="uk-UA"/>
        </w:rPr>
        <w:t xml:space="preserve"> на </w:t>
      </w:r>
      <w:r w:rsidRPr="0003083B">
        <w:rPr>
          <w:b/>
          <w:sz w:val="32"/>
          <w:szCs w:val="32"/>
        </w:rPr>
        <w:t xml:space="preserve"> </w:t>
      </w:r>
      <w:r w:rsidRPr="00E11530">
        <w:rPr>
          <w:b/>
          <w:sz w:val="32"/>
          <w:szCs w:val="32"/>
          <w:lang w:val="uk-UA"/>
        </w:rPr>
        <w:t>20</w:t>
      </w:r>
      <w:r w:rsidRPr="0003083B">
        <w:rPr>
          <w:b/>
          <w:sz w:val="32"/>
          <w:szCs w:val="32"/>
        </w:rPr>
        <w:t>2</w:t>
      </w:r>
      <w:r w:rsidR="00EF30BF" w:rsidRPr="00EF30BF">
        <w:rPr>
          <w:b/>
          <w:sz w:val="32"/>
          <w:szCs w:val="32"/>
        </w:rPr>
        <w:t>3</w:t>
      </w:r>
      <w:r w:rsidRPr="00E11530">
        <w:rPr>
          <w:b/>
          <w:sz w:val="32"/>
          <w:szCs w:val="32"/>
          <w:lang w:val="uk-UA"/>
        </w:rPr>
        <w:t xml:space="preserve"> рік</w:t>
      </w:r>
    </w:p>
    <w:p w:rsidR="00930D1E" w:rsidRPr="00E11530" w:rsidRDefault="00930D1E" w:rsidP="0070732C">
      <w:pPr>
        <w:jc w:val="center"/>
        <w:rPr>
          <w:b/>
          <w:sz w:val="32"/>
          <w:szCs w:val="32"/>
        </w:rPr>
      </w:pPr>
    </w:p>
    <w:p w:rsidR="001117BE" w:rsidRPr="00C151F6" w:rsidRDefault="001117BE" w:rsidP="001117B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 міської територіальної громади сформований </w:t>
      </w:r>
      <w:r w:rsidRPr="00C207D1">
        <w:rPr>
          <w:sz w:val="28"/>
          <w:szCs w:val="28"/>
          <w:lang w:val="uk-UA"/>
        </w:rPr>
        <w:t>з</w:t>
      </w:r>
      <w:r w:rsidRPr="00C207D1">
        <w:rPr>
          <w:sz w:val="28"/>
          <w:szCs w:val="28"/>
        </w:rPr>
        <w:t xml:space="preserve"> </w:t>
      </w:r>
      <w:r w:rsidRPr="00C207D1">
        <w:rPr>
          <w:bCs/>
          <w:sz w:val="28"/>
          <w:szCs w:val="28"/>
          <w:lang w:val="uk-UA"/>
        </w:rPr>
        <w:t xml:space="preserve">урахуванням </w:t>
      </w:r>
      <w:r w:rsidRPr="00C207D1">
        <w:rPr>
          <w:sz w:val="28"/>
          <w:szCs w:val="28"/>
          <w:lang w:val="uk-UA"/>
        </w:rPr>
        <w:t>основних прогнозних макропоказників економічного і соціального розвитку громади, які враховують дії правового режиму воєнного стану, передбачає забезпечення виконання власних повноважень в межах наявних ресурсів</w:t>
      </w:r>
      <w:r>
        <w:rPr>
          <w:sz w:val="28"/>
          <w:szCs w:val="28"/>
          <w:lang w:val="uk-UA"/>
        </w:rPr>
        <w:t>, що свідчить про його збалансованість.</w:t>
      </w:r>
    </w:p>
    <w:p w:rsidR="001117BE" w:rsidRPr="00670D6D" w:rsidRDefault="001117BE" w:rsidP="001117BE">
      <w:pPr>
        <w:ind w:firstLine="851"/>
        <w:jc w:val="both"/>
        <w:rPr>
          <w:b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Міський бюджет територіальної громади збалансовано з базовою дотацією в сумі 34 639,2 тис.грн.</w:t>
      </w:r>
    </w:p>
    <w:p w:rsidR="001117BE" w:rsidRDefault="001117BE" w:rsidP="001117B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Розрахунки до проєкту бюджету</w:t>
      </w:r>
      <w:r w:rsidRPr="00F27A69">
        <w:rPr>
          <w:sz w:val="28"/>
          <w:szCs w:val="28"/>
          <w:lang w:val="uk-UA"/>
        </w:rPr>
        <w:t xml:space="preserve"> міської територіальної громади на 202</w:t>
      </w:r>
      <w:r>
        <w:rPr>
          <w:sz w:val="28"/>
          <w:szCs w:val="28"/>
          <w:lang w:val="uk-UA"/>
        </w:rPr>
        <w:t>3</w:t>
      </w:r>
      <w:r w:rsidRPr="00F27A69">
        <w:rPr>
          <w:sz w:val="28"/>
          <w:szCs w:val="28"/>
          <w:lang w:val="uk-UA"/>
        </w:rPr>
        <w:t xml:space="preserve"> рік ґрунтуються відповідно до діючих на теперішній час положень Податкового та Бюджетного</w:t>
      </w:r>
      <w:r w:rsidRPr="004E7FDE">
        <w:rPr>
          <w:sz w:val="28"/>
          <w:szCs w:val="28"/>
          <w:lang w:val="uk-UA"/>
        </w:rPr>
        <w:t xml:space="preserve"> кодексів України</w:t>
      </w:r>
      <w:r>
        <w:rPr>
          <w:sz w:val="28"/>
          <w:szCs w:val="28"/>
          <w:lang w:val="uk-UA"/>
        </w:rPr>
        <w:t xml:space="preserve"> (зі змінами)</w:t>
      </w:r>
      <w:r w:rsidRPr="004E7FDE">
        <w:rPr>
          <w:sz w:val="28"/>
          <w:szCs w:val="28"/>
          <w:lang w:val="uk-UA"/>
        </w:rPr>
        <w:t xml:space="preserve">, Закону України «Про </w:t>
      </w:r>
      <w:r w:rsidR="00A01066">
        <w:rPr>
          <w:sz w:val="28"/>
          <w:szCs w:val="28"/>
          <w:lang w:val="uk-UA"/>
        </w:rPr>
        <w:t>Д</w:t>
      </w:r>
      <w:r w:rsidRPr="004E7FDE">
        <w:rPr>
          <w:sz w:val="28"/>
          <w:szCs w:val="28"/>
          <w:lang w:val="uk-UA"/>
        </w:rPr>
        <w:t>ержавний бюджет України на 202</w:t>
      </w:r>
      <w:r>
        <w:rPr>
          <w:sz w:val="28"/>
          <w:szCs w:val="28"/>
          <w:lang w:val="uk-UA"/>
        </w:rPr>
        <w:t>3</w:t>
      </w:r>
      <w:r w:rsidRPr="004E7FDE">
        <w:rPr>
          <w:sz w:val="28"/>
          <w:szCs w:val="28"/>
          <w:lang w:val="uk-UA"/>
        </w:rPr>
        <w:t xml:space="preserve"> рік»</w:t>
      </w:r>
      <w:r w:rsidRPr="00B46821">
        <w:rPr>
          <w:sz w:val="28"/>
          <w:szCs w:val="28"/>
          <w:lang w:val="uk-UA"/>
        </w:rPr>
        <w:t xml:space="preserve"> </w:t>
      </w:r>
      <w:r w:rsidRPr="00BC3372">
        <w:rPr>
          <w:sz w:val="28"/>
          <w:szCs w:val="28"/>
          <w:lang w:val="uk-UA"/>
        </w:rPr>
        <w:t xml:space="preserve">(реєстраційний № </w:t>
      </w:r>
      <w:r w:rsidR="00BC3372" w:rsidRPr="00BC3372">
        <w:rPr>
          <w:sz w:val="28"/>
          <w:szCs w:val="28"/>
          <w:lang w:val="uk-UA"/>
        </w:rPr>
        <w:t>2710-</w:t>
      </w:r>
      <w:r w:rsidR="00BC3372" w:rsidRPr="00BC3372">
        <w:rPr>
          <w:sz w:val="28"/>
          <w:szCs w:val="28"/>
          <w:lang w:val="en-US"/>
        </w:rPr>
        <w:t>IX</w:t>
      </w:r>
      <w:r w:rsidRPr="00BC3372">
        <w:rPr>
          <w:sz w:val="28"/>
          <w:szCs w:val="28"/>
          <w:lang w:val="uk-UA"/>
        </w:rPr>
        <w:t xml:space="preserve"> від </w:t>
      </w:r>
      <w:r w:rsidR="00BC3372" w:rsidRPr="00BC3372">
        <w:rPr>
          <w:sz w:val="28"/>
          <w:szCs w:val="28"/>
          <w:lang w:val="uk-UA"/>
        </w:rPr>
        <w:t>03.11</w:t>
      </w:r>
      <w:r w:rsidRPr="00BC3372">
        <w:rPr>
          <w:sz w:val="28"/>
          <w:szCs w:val="28"/>
          <w:lang w:val="uk-UA"/>
        </w:rPr>
        <w:t>.2022),</w:t>
      </w:r>
      <w:r w:rsidRPr="004E7FDE">
        <w:rPr>
          <w:color w:val="000000"/>
          <w:sz w:val="28"/>
          <w:szCs w:val="28"/>
          <w:lang w:val="uk-UA"/>
        </w:rPr>
        <w:t xml:space="preserve"> враховуючи рекомендації Міністерства фінансів України та інших</w:t>
      </w:r>
      <w:r w:rsidRPr="004E7FDE">
        <w:rPr>
          <w:sz w:val="28"/>
          <w:szCs w:val="28"/>
          <w:lang w:val="uk-UA"/>
        </w:rPr>
        <w:t xml:space="preserve"> нормативно – правових актів</w:t>
      </w:r>
      <w:r>
        <w:rPr>
          <w:sz w:val="28"/>
          <w:szCs w:val="28"/>
          <w:lang w:val="uk-UA"/>
        </w:rPr>
        <w:t>.</w:t>
      </w:r>
    </w:p>
    <w:p w:rsidR="001117BE" w:rsidRDefault="001117BE" w:rsidP="001117BE">
      <w:pPr>
        <w:pStyle w:val="a3"/>
        <w:spacing w:after="0"/>
        <w:ind w:right="23"/>
        <w:jc w:val="center"/>
        <w:rPr>
          <w:rStyle w:val="afe"/>
          <w:sz w:val="28"/>
          <w:szCs w:val="28"/>
          <w:lang w:eastAsia="uk-UA"/>
        </w:rPr>
      </w:pPr>
    </w:p>
    <w:p w:rsidR="001117BE" w:rsidRDefault="001117BE" w:rsidP="001117BE">
      <w:pPr>
        <w:pStyle w:val="a3"/>
        <w:spacing w:after="0"/>
        <w:ind w:right="23"/>
        <w:jc w:val="center"/>
        <w:rPr>
          <w:rStyle w:val="afe"/>
          <w:sz w:val="28"/>
          <w:szCs w:val="28"/>
          <w:lang w:eastAsia="uk-UA"/>
        </w:rPr>
      </w:pPr>
      <w:r w:rsidRPr="00E11530">
        <w:rPr>
          <w:rStyle w:val="afe"/>
          <w:sz w:val="28"/>
          <w:szCs w:val="28"/>
          <w:lang w:eastAsia="uk-UA"/>
        </w:rPr>
        <w:t xml:space="preserve">Загальні особливості формування показників бюджету </w:t>
      </w:r>
      <w:r>
        <w:rPr>
          <w:rStyle w:val="afe"/>
          <w:sz w:val="28"/>
          <w:szCs w:val="28"/>
          <w:lang w:eastAsia="uk-UA"/>
        </w:rPr>
        <w:t xml:space="preserve">Носівської міської територіальної громади </w:t>
      </w:r>
      <w:r w:rsidRPr="00E11530">
        <w:rPr>
          <w:rStyle w:val="afe"/>
          <w:sz w:val="28"/>
          <w:szCs w:val="28"/>
          <w:lang w:eastAsia="uk-UA"/>
        </w:rPr>
        <w:t>на 20</w:t>
      </w:r>
      <w:r>
        <w:rPr>
          <w:rStyle w:val="afe"/>
          <w:sz w:val="28"/>
          <w:szCs w:val="28"/>
          <w:lang w:eastAsia="uk-UA"/>
        </w:rPr>
        <w:t>23</w:t>
      </w:r>
      <w:r w:rsidRPr="00E11530">
        <w:rPr>
          <w:rStyle w:val="afe"/>
          <w:sz w:val="28"/>
          <w:szCs w:val="28"/>
          <w:lang w:eastAsia="uk-UA"/>
        </w:rPr>
        <w:t xml:space="preserve"> рік</w:t>
      </w:r>
    </w:p>
    <w:p w:rsidR="002D177B" w:rsidRDefault="002D177B" w:rsidP="001117BE">
      <w:pPr>
        <w:pStyle w:val="a3"/>
        <w:spacing w:after="0"/>
        <w:ind w:right="23"/>
        <w:jc w:val="center"/>
        <w:rPr>
          <w:rStyle w:val="afe"/>
          <w:sz w:val="28"/>
          <w:szCs w:val="28"/>
          <w:lang w:eastAsia="uk-UA"/>
        </w:rPr>
      </w:pPr>
    </w:p>
    <w:p w:rsidR="001117BE" w:rsidRPr="00805505" w:rsidRDefault="001117BE" w:rsidP="001117B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 рішення міської ради «Про бюджет Носівської міської територіальної громади на 202</w:t>
      </w:r>
      <w:r w:rsidRPr="00B4682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Pr="00C95E9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код бюджету 2550800000)» </w:t>
      </w:r>
      <w:r w:rsidRPr="009D5EB7">
        <w:rPr>
          <w:sz w:val="28"/>
          <w:szCs w:val="28"/>
          <w:lang w:val="uk-UA"/>
        </w:rPr>
        <w:t>розроблений за типовою формою</w:t>
      </w:r>
      <w:r>
        <w:rPr>
          <w:sz w:val="28"/>
          <w:szCs w:val="28"/>
          <w:lang w:val="uk-UA"/>
        </w:rPr>
        <w:t xml:space="preserve"> рішення про місцевий бюджет (згідно з </w:t>
      </w:r>
      <w:r w:rsidRPr="009D5EB7">
        <w:rPr>
          <w:sz w:val="28"/>
          <w:szCs w:val="28"/>
          <w:lang w:val="uk-UA"/>
        </w:rPr>
        <w:t xml:space="preserve">наказом Міністерства фінансів України від </w:t>
      </w:r>
      <w:r w:rsidRPr="004D05C6">
        <w:rPr>
          <w:sz w:val="28"/>
          <w:szCs w:val="28"/>
          <w:lang w:val="uk-UA"/>
        </w:rPr>
        <w:t>03.08.2018№ 668</w:t>
      </w:r>
      <w:r w:rsidRPr="007937F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зареєстрованим в Мінюсті </w:t>
      </w:r>
      <w:r w:rsidRPr="007937FA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Pr="007937FA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.20</w:t>
      </w:r>
      <w:r w:rsidRPr="007937FA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за № </w:t>
      </w:r>
      <w:r w:rsidRPr="007937FA">
        <w:rPr>
          <w:sz w:val="28"/>
          <w:szCs w:val="28"/>
          <w:lang w:val="uk-UA"/>
        </w:rPr>
        <w:t>953</w:t>
      </w:r>
      <w:r>
        <w:rPr>
          <w:sz w:val="28"/>
          <w:szCs w:val="28"/>
          <w:lang w:val="uk-UA"/>
        </w:rPr>
        <w:t>/</w:t>
      </w:r>
      <w:r w:rsidRPr="007937FA">
        <w:rPr>
          <w:sz w:val="28"/>
          <w:szCs w:val="28"/>
          <w:lang w:val="uk-UA"/>
        </w:rPr>
        <w:t>2405</w:t>
      </w:r>
      <w:r>
        <w:rPr>
          <w:sz w:val="28"/>
          <w:szCs w:val="28"/>
          <w:lang w:val="uk-UA"/>
        </w:rPr>
        <w:t>3, зі змінами), типовою програмною класифікацією видатків і кредитування місцевого бюджету (згідно з наказом Міністерства фінансів України від 20</w:t>
      </w:r>
      <w:r w:rsidRPr="004D05C6">
        <w:rPr>
          <w:sz w:val="28"/>
          <w:szCs w:val="28"/>
          <w:lang w:val="uk-UA"/>
        </w:rPr>
        <w:t>.09.2017 № 793</w:t>
      </w:r>
      <w:r w:rsidRPr="005347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 змінами), наказом Міністерства фінансів України від 17.07.2015 №648 «Про затвердження типових форм бюджетних запитів для формування місцевих бюджетів» (зі змінами) та з урахуванням вимог постанови Кабінету Міністрів України  від  11.03.2022 № 252 «Деякі питання формування та виконання місцевих бюджетів у період воєнного стану».</w:t>
      </w:r>
    </w:p>
    <w:p w:rsidR="001117BE" w:rsidRDefault="001117BE" w:rsidP="001117BE">
      <w:pPr>
        <w:ind w:firstLine="851"/>
        <w:jc w:val="both"/>
        <w:rPr>
          <w:sz w:val="28"/>
          <w:szCs w:val="28"/>
          <w:lang w:val="uk-UA"/>
        </w:rPr>
      </w:pPr>
    </w:p>
    <w:p w:rsidR="001117BE" w:rsidRDefault="001117BE" w:rsidP="001117BE">
      <w:pPr>
        <w:ind w:firstLine="851"/>
        <w:jc w:val="both"/>
        <w:rPr>
          <w:sz w:val="28"/>
          <w:szCs w:val="28"/>
          <w:lang w:val="uk-UA"/>
        </w:rPr>
      </w:pPr>
      <w:r w:rsidRPr="00173337">
        <w:rPr>
          <w:sz w:val="28"/>
          <w:szCs w:val="28"/>
          <w:lang w:val="uk-UA"/>
        </w:rPr>
        <w:t>Дохідна частина бюджету на 202</w:t>
      </w:r>
      <w:r>
        <w:rPr>
          <w:sz w:val="28"/>
          <w:szCs w:val="28"/>
          <w:lang w:val="uk-UA"/>
        </w:rPr>
        <w:t>3</w:t>
      </w:r>
      <w:r w:rsidRPr="00173337">
        <w:rPr>
          <w:sz w:val="28"/>
          <w:szCs w:val="28"/>
          <w:lang w:val="uk-UA"/>
        </w:rPr>
        <w:t xml:space="preserve"> рік</w:t>
      </w:r>
      <w:r w:rsidRPr="00670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розроблена </w:t>
      </w:r>
      <w:r w:rsidRPr="00670D6D">
        <w:rPr>
          <w:sz w:val="28"/>
          <w:szCs w:val="28"/>
          <w:lang w:val="uk-UA"/>
        </w:rPr>
        <w:t>на основі норм Податкового і Бюджетного кодексів України</w:t>
      </w:r>
      <w:r w:rsidRPr="009628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урахуванням змін </w:t>
      </w:r>
      <w:r w:rsidRPr="00670D6D">
        <w:rPr>
          <w:sz w:val="28"/>
          <w:szCs w:val="28"/>
          <w:lang w:val="uk-UA"/>
        </w:rPr>
        <w:t>та інших законодавчих актів</w:t>
      </w:r>
      <w:r>
        <w:rPr>
          <w:sz w:val="28"/>
          <w:szCs w:val="28"/>
          <w:lang w:val="uk-UA"/>
        </w:rPr>
        <w:t xml:space="preserve"> </w:t>
      </w:r>
      <w:r w:rsidRPr="002A194D">
        <w:rPr>
          <w:sz w:val="28"/>
          <w:szCs w:val="28"/>
          <w:lang w:val="uk-UA"/>
        </w:rPr>
        <w:t xml:space="preserve">(через повномасштабне вторгнення російсько федерації в Україну у 2022 році призупинено дію </w:t>
      </w:r>
      <w:r w:rsidRPr="00731C62">
        <w:rPr>
          <w:sz w:val="28"/>
          <w:szCs w:val="28"/>
          <w:lang w:val="uk-UA"/>
        </w:rPr>
        <w:t>статті 75</w:t>
      </w:r>
      <w:r w:rsidRPr="00731C62">
        <w:rPr>
          <w:sz w:val="28"/>
          <w:szCs w:val="28"/>
          <w:vertAlign w:val="superscript"/>
          <w:lang w:val="uk-UA"/>
        </w:rPr>
        <w:t>1</w:t>
      </w:r>
      <w:r w:rsidRPr="002A194D">
        <w:rPr>
          <w:sz w:val="28"/>
          <w:szCs w:val="28"/>
          <w:lang w:val="uk-UA"/>
        </w:rPr>
        <w:t xml:space="preserve"> Бюджетного кодексу України та пов’язані з нею норми щодо прогнозів місцевих бюджетів, тобто прогноз місцевого бюджету</w:t>
      </w:r>
      <w:r>
        <w:rPr>
          <w:sz w:val="28"/>
          <w:szCs w:val="28"/>
          <w:lang w:val="uk-UA"/>
        </w:rPr>
        <w:t>,</w:t>
      </w:r>
      <w:r w:rsidRPr="002A194D">
        <w:rPr>
          <w:sz w:val="28"/>
          <w:szCs w:val="28"/>
          <w:lang w:val="uk-UA"/>
        </w:rPr>
        <w:t xml:space="preserve"> як документ середньострокового бюджетного планування у 2022 році не складався ).</w:t>
      </w:r>
      <w:r w:rsidRPr="00670D6D">
        <w:rPr>
          <w:sz w:val="28"/>
          <w:szCs w:val="28"/>
          <w:lang w:val="uk-UA"/>
        </w:rPr>
        <w:t xml:space="preserve"> </w:t>
      </w:r>
    </w:p>
    <w:p w:rsidR="001117BE" w:rsidRDefault="001117BE" w:rsidP="001117BE">
      <w:pPr>
        <w:ind w:firstLine="851"/>
        <w:jc w:val="both"/>
        <w:rPr>
          <w:sz w:val="28"/>
          <w:szCs w:val="28"/>
          <w:lang w:val="uk-UA"/>
        </w:rPr>
      </w:pPr>
      <w:r w:rsidRPr="00FB2F5E">
        <w:rPr>
          <w:sz w:val="28"/>
          <w:szCs w:val="28"/>
          <w:lang w:val="uk-UA"/>
        </w:rPr>
        <w:t xml:space="preserve">При визначенні обсягу ресурсу </w:t>
      </w:r>
      <w:r>
        <w:rPr>
          <w:sz w:val="28"/>
          <w:szCs w:val="28"/>
          <w:lang w:val="uk-UA"/>
        </w:rPr>
        <w:t>бюджету міської територіальної громади</w:t>
      </w:r>
      <w:r w:rsidRPr="00FB2F5E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23</w:t>
      </w:r>
      <w:r w:rsidRPr="00FB2F5E">
        <w:rPr>
          <w:sz w:val="28"/>
          <w:szCs w:val="28"/>
          <w:lang w:val="uk-UA"/>
        </w:rPr>
        <w:t xml:space="preserve"> рік враховано</w:t>
      </w:r>
      <w:r>
        <w:rPr>
          <w:sz w:val="28"/>
          <w:szCs w:val="28"/>
          <w:lang w:val="uk-UA"/>
        </w:rPr>
        <w:t>:</w:t>
      </w:r>
    </w:p>
    <w:p w:rsidR="001117BE" w:rsidRDefault="001117BE" w:rsidP="001117BE">
      <w:pPr>
        <w:ind w:firstLine="851"/>
        <w:jc w:val="both"/>
        <w:rPr>
          <w:bCs/>
          <w:sz w:val="28"/>
          <w:lang w:val="uk-UA"/>
        </w:rPr>
      </w:pPr>
      <w:r w:rsidRPr="00670D6D">
        <w:rPr>
          <w:sz w:val="28"/>
          <w:szCs w:val="28"/>
          <w:lang w:val="uk-UA"/>
        </w:rPr>
        <w:t>статистичні показники, які використовуються при розрахунку прогнозних надходжень по</w:t>
      </w:r>
      <w:r>
        <w:rPr>
          <w:sz w:val="28"/>
          <w:szCs w:val="28"/>
          <w:lang w:val="uk-UA"/>
        </w:rPr>
        <w:t>датків та зборів, зокрема за 2021</w:t>
      </w:r>
      <w:r w:rsidRPr="00670D6D">
        <w:rPr>
          <w:sz w:val="28"/>
          <w:szCs w:val="28"/>
          <w:lang w:val="uk-UA"/>
        </w:rPr>
        <w:t xml:space="preserve"> рік, очікувані </w:t>
      </w:r>
      <w:r w:rsidRPr="00670D6D">
        <w:rPr>
          <w:sz w:val="28"/>
          <w:szCs w:val="28"/>
          <w:lang w:val="uk-UA"/>
        </w:rPr>
        <w:lastRenderedPageBreak/>
        <w:t xml:space="preserve">показники економічного і соціального розвитку </w:t>
      </w:r>
      <w:r>
        <w:rPr>
          <w:sz w:val="28"/>
          <w:szCs w:val="28"/>
          <w:lang w:val="uk-UA"/>
        </w:rPr>
        <w:t>в</w:t>
      </w:r>
      <w:r w:rsidRPr="00670D6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22</w:t>
      </w:r>
      <w:r w:rsidRPr="00670D6D">
        <w:rPr>
          <w:sz w:val="28"/>
          <w:szCs w:val="28"/>
          <w:lang w:val="uk-UA"/>
        </w:rPr>
        <w:t xml:space="preserve"> році та прогнозні дані на 20</w:t>
      </w:r>
      <w:r>
        <w:rPr>
          <w:sz w:val="28"/>
          <w:szCs w:val="28"/>
          <w:lang w:val="uk-UA"/>
        </w:rPr>
        <w:t>23</w:t>
      </w:r>
      <w:r w:rsidRPr="00670D6D">
        <w:rPr>
          <w:sz w:val="28"/>
          <w:szCs w:val="28"/>
          <w:lang w:val="uk-UA"/>
        </w:rPr>
        <w:t xml:space="preserve"> рік, </w:t>
      </w:r>
      <w:r w:rsidRPr="00670D6D">
        <w:rPr>
          <w:bCs/>
          <w:sz w:val="28"/>
          <w:lang w:val="uk-UA"/>
        </w:rPr>
        <w:t>динаміку надходжень податків, зборів і обов’язкових платежів у 201</w:t>
      </w:r>
      <w:r>
        <w:rPr>
          <w:bCs/>
          <w:sz w:val="28"/>
          <w:lang w:val="uk-UA"/>
        </w:rPr>
        <w:t>9</w:t>
      </w:r>
      <w:r w:rsidRPr="00670D6D">
        <w:rPr>
          <w:bCs/>
          <w:sz w:val="28"/>
          <w:lang w:val="uk-UA"/>
        </w:rPr>
        <w:t>-20</w:t>
      </w:r>
      <w:r>
        <w:rPr>
          <w:bCs/>
          <w:sz w:val="28"/>
          <w:lang w:val="uk-UA"/>
        </w:rPr>
        <w:t>21</w:t>
      </w:r>
      <w:r w:rsidRPr="00670D6D">
        <w:rPr>
          <w:bCs/>
          <w:sz w:val="28"/>
          <w:lang w:val="uk-UA"/>
        </w:rPr>
        <w:t xml:space="preserve"> роках та за 1</w:t>
      </w:r>
      <w:r w:rsidRPr="00A70DA6">
        <w:rPr>
          <w:bCs/>
          <w:sz w:val="28"/>
          <w:lang w:val="uk-UA"/>
        </w:rPr>
        <w:t>0</w:t>
      </w:r>
      <w:r>
        <w:rPr>
          <w:bCs/>
          <w:sz w:val="28"/>
          <w:lang w:val="uk-UA"/>
        </w:rPr>
        <w:t xml:space="preserve"> місяців поточного року;</w:t>
      </w:r>
    </w:p>
    <w:p w:rsidR="001117BE" w:rsidRPr="00BC7F4F" w:rsidRDefault="001117BE" w:rsidP="001117BE">
      <w:pPr>
        <w:ind w:firstLine="851"/>
        <w:jc w:val="both"/>
        <w:rPr>
          <w:sz w:val="28"/>
          <w:szCs w:val="28"/>
          <w:lang w:val="uk-UA"/>
        </w:rPr>
      </w:pPr>
      <w:r w:rsidRPr="00FB2F5E">
        <w:rPr>
          <w:sz w:val="28"/>
          <w:szCs w:val="28"/>
          <w:lang w:val="uk-UA"/>
        </w:rPr>
        <w:t>підвищення розміру прожиткового мінімуму, мінімальної заробітної плати</w:t>
      </w:r>
      <w:r>
        <w:rPr>
          <w:sz w:val="28"/>
          <w:szCs w:val="28"/>
          <w:lang w:val="uk-UA"/>
        </w:rPr>
        <w:t>, продовження дії тимчасової норми щодо підвищеного нормативу зарахування (+4%) податку на доходи фізичних осіб;</w:t>
      </w:r>
    </w:p>
    <w:p w:rsidR="001117BE" w:rsidRPr="00BA288D" w:rsidRDefault="001117BE" w:rsidP="001117BE">
      <w:pPr>
        <w:spacing w:before="40" w:after="40"/>
        <w:ind w:firstLine="709"/>
        <w:jc w:val="both"/>
        <w:rPr>
          <w:sz w:val="28"/>
          <w:szCs w:val="28"/>
          <w:lang w:val="uk-UA"/>
        </w:rPr>
      </w:pPr>
      <w:r w:rsidRPr="00BA288D">
        <w:rPr>
          <w:sz w:val="28"/>
          <w:szCs w:val="28"/>
          <w:lang w:val="uk-UA"/>
        </w:rPr>
        <w:t>збереження протягом 202</w:t>
      </w:r>
      <w:r>
        <w:rPr>
          <w:sz w:val="28"/>
          <w:szCs w:val="28"/>
          <w:lang w:val="uk-UA"/>
        </w:rPr>
        <w:t>3</w:t>
      </w:r>
      <w:r w:rsidRPr="00BA288D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у</w:t>
      </w:r>
      <w:r w:rsidRPr="00BA288D">
        <w:rPr>
          <w:sz w:val="28"/>
          <w:szCs w:val="28"/>
          <w:lang w:val="uk-UA"/>
        </w:rPr>
        <w:t xml:space="preserve"> норми щодо зарахування 13,44% акцизного податку з пального до місцевих бюджетів;</w:t>
      </w:r>
    </w:p>
    <w:p w:rsidR="001117BE" w:rsidRPr="003402B0" w:rsidRDefault="001117BE" w:rsidP="001117BE">
      <w:pPr>
        <w:ind w:firstLine="851"/>
        <w:jc w:val="both"/>
        <w:rPr>
          <w:sz w:val="28"/>
          <w:szCs w:val="28"/>
          <w:lang w:val="uk-UA"/>
        </w:rPr>
      </w:pPr>
      <w:r w:rsidRPr="003402B0">
        <w:rPr>
          <w:sz w:val="28"/>
          <w:szCs w:val="28"/>
          <w:shd w:val="clear" w:color="auto" w:fill="FFFFFF"/>
        </w:rPr>
        <w:t>продовження зарахування 5 відсотків рентної плати за користування надрами для видобування корисних копалин загальнодержавного значення (природний газ, нафту та газовий конденсат) до місцевих бюджетів за місцем видобутку корисних копалин;</w:t>
      </w:r>
      <w:r w:rsidRPr="003402B0">
        <w:rPr>
          <w:sz w:val="28"/>
          <w:szCs w:val="28"/>
        </w:rPr>
        <w:t xml:space="preserve"> </w:t>
      </w:r>
    </w:p>
    <w:p w:rsidR="001117BE" w:rsidRPr="00DA17FD" w:rsidRDefault="001117BE" w:rsidP="001117B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зарахування 37 відсотків рентної плати за спеціальне використання лісових ресурсів у частині деревини, заготовленої в порядку рубок головного користування.</w:t>
      </w:r>
    </w:p>
    <w:p w:rsidR="001117BE" w:rsidRPr="002A194D" w:rsidRDefault="00AC42B2" w:rsidP="001117BE">
      <w:pPr>
        <w:shd w:val="clear" w:color="auto" w:fill="FFFFFF"/>
        <w:spacing w:after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Закону України «Про Д</w:t>
      </w:r>
      <w:r w:rsidR="00BC3372" w:rsidRPr="004E7FDE">
        <w:rPr>
          <w:sz w:val="28"/>
          <w:szCs w:val="28"/>
          <w:lang w:val="uk-UA"/>
        </w:rPr>
        <w:t>ержавний бюджет України на 202</w:t>
      </w:r>
      <w:r w:rsidR="00BC3372">
        <w:rPr>
          <w:sz w:val="28"/>
          <w:szCs w:val="28"/>
          <w:lang w:val="uk-UA"/>
        </w:rPr>
        <w:t>3</w:t>
      </w:r>
      <w:r w:rsidR="00BC3372" w:rsidRPr="004E7FDE">
        <w:rPr>
          <w:sz w:val="28"/>
          <w:szCs w:val="28"/>
          <w:lang w:val="uk-UA"/>
        </w:rPr>
        <w:t xml:space="preserve"> рік»</w:t>
      </w:r>
      <w:r w:rsidR="00BC3372">
        <w:rPr>
          <w:sz w:val="28"/>
          <w:szCs w:val="28"/>
          <w:lang w:val="uk-UA"/>
        </w:rPr>
        <w:t xml:space="preserve"> пе</w:t>
      </w:r>
      <w:r w:rsidR="001117BE" w:rsidRPr="00A833B6">
        <w:rPr>
          <w:sz w:val="28"/>
          <w:szCs w:val="28"/>
        </w:rPr>
        <w:t>редбачено</w:t>
      </w:r>
      <w:r w:rsidR="00BC3372">
        <w:rPr>
          <w:sz w:val="28"/>
          <w:szCs w:val="28"/>
        </w:rPr>
        <w:t xml:space="preserve"> </w:t>
      </w:r>
      <w:r w:rsidR="001117BE" w:rsidRPr="00A833B6">
        <w:rPr>
          <w:sz w:val="28"/>
          <w:szCs w:val="28"/>
        </w:rPr>
        <w:t xml:space="preserve"> мінімальну заробітну плату з</w:t>
      </w:r>
      <w:r w:rsidR="00BC3372">
        <w:rPr>
          <w:sz w:val="28"/>
          <w:szCs w:val="28"/>
        </w:rPr>
        <w:t xml:space="preserve"> </w:t>
      </w:r>
      <w:r w:rsidR="001117BE" w:rsidRPr="00A833B6">
        <w:rPr>
          <w:sz w:val="28"/>
          <w:szCs w:val="28"/>
        </w:rPr>
        <w:t>1 січня 202</w:t>
      </w:r>
      <w:r w:rsidR="001117BE">
        <w:rPr>
          <w:sz w:val="28"/>
          <w:szCs w:val="28"/>
          <w:lang w:val="uk-UA"/>
        </w:rPr>
        <w:t>3</w:t>
      </w:r>
      <w:r w:rsidR="001117BE" w:rsidRPr="00A833B6">
        <w:rPr>
          <w:sz w:val="28"/>
          <w:szCs w:val="28"/>
        </w:rPr>
        <w:t xml:space="preserve"> року – в розмірі </w:t>
      </w:r>
      <w:r w:rsidR="001117BE" w:rsidRPr="0036190E">
        <w:rPr>
          <w:b/>
          <w:sz w:val="28"/>
          <w:szCs w:val="28"/>
        </w:rPr>
        <w:t>6 </w:t>
      </w:r>
      <w:r w:rsidR="001117BE" w:rsidRPr="0036190E">
        <w:rPr>
          <w:b/>
          <w:sz w:val="28"/>
          <w:szCs w:val="28"/>
          <w:lang w:val="uk-UA"/>
        </w:rPr>
        <w:t>7</w:t>
      </w:r>
      <w:r w:rsidR="001117BE" w:rsidRPr="0036190E">
        <w:rPr>
          <w:b/>
          <w:sz w:val="28"/>
          <w:szCs w:val="28"/>
        </w:rPr>
        <w:t>00</w:t>
      </w:r>
      <w:r w:rsidR="001117BE">
        <w:rPr>
          <w:sz w:val="28"/>
          <w:szCs w:val="28"/>
        </w:rPr>
        <w:t xml:space="preserve"> грн</w:t>
      </w:r>
      <w:r w:rsidR="001117BE">
        <w:rPr>
          <w:sz w:val="28"/>
          <w:szCs w:val="28"/>
          <w:lang w:val="uk-UA"/>
        </w:rPr>
        <w:t>.</w:t>
      </w:r>
      <w:r w:rsidR="00BC3372">
        <w:rPr>
          <w:sz w:val="28"/>
          <w:szCs w:val="28"/>
          <w:lang w:val="uk-UA"/>
        </w:rPr>
        <w:t xml:space="preserve"> </w:t>
      </w:r>
    </w:p>
    <w:p w:rsidR="001117BE" w:rsidRPr="00A833B6" w:rsidRDefault="00BC3372" w:rsidP="00BC3372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17BE" w:rsidRPr="00A833B6">
        <w:rPr>
          <w:sz w:val="28"/>
          <w:szCs w:val="28"/>
        </w:rPr>
        <w:t>идатки на встановлення посадового окладу працівника І тарифного розряду Єдиної тарифної сітки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="001117BE" w:rsidRPr="00A833B6">
        <w:rPr>
          <w:sz w:val="28"/>
          <w:szCs w:val="28"/>
        </w:rPr>
        <w:t xml:space="preserve"> в розмірі</w:t>
      </w:r>
      <w:r>
        <w:rPr>
          <w:sz w:val="28"/>
          <w:szCs w:val="28"/>
        </w:rPr>
        <w:t xml:space="preserve"> </w:t>
      </w:r>
      <w:r w:rsidR="001117BE" w:rsidRPr="00A833B6">
        <w:rPr>
          <w:sz w:val="28"/>
          <w:szCs w:val="28"/>
        </w:rPr>
        <w:t xml:space="preserve"> </w:t>
      </w:r>
      <w:r w:rsidR="001117BE" w:rsidRPr="0036190E">
        <w:rPr>
          <w:b/>
          <w:sz w:val="28"/>
          <w:szCs w:val="28"/>
        </w:rPr>
        <w:t>2 </w:t>
      </w:r>
      <w:r w:rsidR="001117BE" w:rsidRPr="0036190E">
        <w:rPr>
          <w:b/>
          <w:sz w:val="28"/>
          <w:szCs w:val="28"/>
          <w:lang w:val="uk-UA"/>
        </w:rPr>
        <w:t>893</w:t>
      </w:r>
      <w:r w:rsidR="001117BE" w:rsidRPr="00A833B6">
        <w:rPr>
          <w:sz w:val="28"/>
          <w:szCs w:val="28"/>
        </w:rPr>
        <w:t xml:space="preserve"> грн;</w:t>
      </w:r>
    </w:p>
    <w:p w:rsidR="001117BE" w:rsidRPr="00B7427C" w:rsidRDefault="001117BE" w:rsidP="001117BE">
      <w:pPr>
        <w:ind w:firstLine="851"/>
        <w:jc w:val="both"/>
        <w:rPr>
          <w:sz w:val="28"/>
          <w:szCs w:val="28"/>
          <w:lang w:val="uk-UA"/>
        </w:rPr>
      </w:pPr>
      <w:r w:rsidRPr="002A194D">
        <w:rPr>
          <w:sz w:val="28"/>
          <w:szCs w:val="28"/>
          <w:lang w:val="uk-UA"/>
        </w:rPr>
        <w:t>Видатки на оплату комунальних послуг і енергоносіїв обраховані за діючими тарифами 202</w:t>
      </w:r>
      <w:r w:rsidR="009B3100">
        <w:rPr>
          <w:sz w:val="28"/>
          <w:szCs w:val="28"/>
          <w:lang w:val="uk-UA"/>
        </w:rPr>
        <w:t>2</w:t>
      </w:r>
      <w:r w:rsidRPr="002A194D">
        <w:rPr>
          <w:sz w:val="28"/>
          <w:szCs w:val="28"/>
          <w:lang w:val="uk-UA"/>
        </w:rPr>
        <w:t xml:space="preserve"> року, з урахуванням фактичного споживання енергоресурсів у поточному році.</w:t>
      </w:r>
      <w:r w:rsidRPr="00B7427C">
        <w:rPr>
          <w:sz w:val="28"/>
          <w:szCs w:val="28"/>
          <w:lang w:val="uk-UA"/>
        </w:rPr>
        <w:t xml:space="preserve">  </w:t>
      </w:r>
    </w:p>
    <w:p w:rsidR="002D4FC0" w:rsidRDefault="001117BE" w:rsidP="001117B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Трансферти з державного бюджету враховані у обсягах визначених у </w:t>
      </w:r>
      <w:r w:rsidR="009B3100">
        <w:rPr>
          <w:sz w:val="28"/>
          <w:szCs w:val="28"/>
          <w:lang w:val="uk-UA"/>
        </w:rPr>
        <w:t>Зак</w:t>
      </w:r>
      <w:r w:rsidRPr="00D6596B">
        <w:rPr>
          <w:sz w:val="28"/>
          <w:szCs w:val="28"/>
          <w:lang w:val="uk-UA"/>
        </w:rPr>
        <w:t>он</w:t>
      </w:r>
      <w:r w:rsidR="009B3100">
        <w:rPr>
          <w:sz w:val="28"/>
          <w:szCs w:val="28"/>
          <w:lang w:val="uk-UA"/>
        </w:rPr>
        <w:t>і</w:t>
      </w:r>
      <w:r w:rsidRPr="00D6596B">
        <w:rPr>
          <w:sz w:val="28"/>
          <w:szCs w:val="28"/>
          <w:lang w:val="uk-UA"/>
        </w:rPr>
        <w:t xml:space="preserve"> України «</w:t>
      </w:r>
      <w:r>
        <w:rPr>
          <w:sz w:val="28"/>
          <w:szCs w:val="28"/>
          <w:lang w:val="uk-UA"/>
        </w:rPr>
        <w:t xml:space="preserve">Про Державний бюджет України на 2023 рік». </w:t>
      </w:r>
    </w:p>
    <w:p w:rsidR="001117BE" w:rsidRDefault="001117BE" w:rsidP="001117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</w:t>
      </w:r>
      <w:r w:rsidR="00DB55B7" w:rsidRPr="00F60A15">
        <w:rPr>
          <w:sz w:val="28"/>
          <w:szCs w:val="28"/>
        </w:rPr>
        <w:t>юджет</w:t>
      </w:r>
      <w:r>
        <w:rPr>
          <w:sz w:val="28"/>
          <w:szCs w:val="28"/>
          <w:lang w:val="uk-UA"/>
        </w:rPr>
        <w:t xml:space="preserve"> територіальної громади</w:t>
      </w:r>
      <w:r w:rsidRPr="00F60A15"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23</w:t>
      </w:r>
      <w:r w:rsidRPr="00F60A15">
        <w:rPr>
          <w:sz w:val="28"/>
          <w:szCs w:val="28"/>
        </w:rPr>
        <w:t xml:space="preserve"> </w:t>
      </w:r>
      <w:r w:rsidRPr="007D7301">
        <w:rPr>
          <w:sz w:val="28"/>
          <w:szCs w:val="28"/>
          <w:lang w:val="uk-UA"/>
        </w:rPr>
        <w:t>рік</w:t>
      </w:r>
      <w:r w:rsidRPr="00F60A15">
        <w:rPr>
          <w:sz w:val="28"/>
          <w:szCs w:val="28"/>
        </w:rPr>
        <w:t xml:space="preserve"> </w:t>
      </w:r>
      <w:r w:rsidRPr="001E5F1B">
        <w:rPr>
          <w:sz w:val="28"/>
          <w:szCs w:val="28"/>
          <w:lang w:val="uk-UA"/>
        </w:rPr>
        <w:t>складений</w:t>
      </w:r>
      <w:r w:rsidRPr="00F60A15">
        <w:rPr>
          <w:sz w:val="28"/>
          <w:szCs w:val="28"/>
        </w:rPr>
        <w:t xml:space="preserve"> та </w:t>
      </w:r>
      <w:r w:rsidRPr="001E5F1B">
        <w:rPr>
          <w:sz w:val="28"/>
          <w:szCs w:val="28"/>
          <w:lang w:val="uk-UA"/>
        </w:rPr>
        <w:t>виконуватиметься</w:t>
      </w:r>
      <w:r w:rsidRPr="00F60A15">
        <w:rPr>
          <w:sz w:val="28"/>
          <w:szCs w:val="28"/>
        </w:rPr>
        <w:t xml:space="preserve"> за </w:t>
      </w:r>
      <w:r w:rsidRPr="001E5F1B">
        <w:rPr>
          <w:sz w:val="28"/>
          <w:szCs w:val="28"/>
          <w:lang w:val="uk-UA"/>
        </w:rPr>
        <w:t>програмно-цільовим</w:t>
      </w:r>
      <w:r w:rsidRPr="00F60A15">
        <w:rPr>
          <w:sz w:val="28"/>
          <w:szCs w:val="28"/>
        </w:rPr>
        <w:t xml:space="preserve"> методом </w:t>
      </w:r>
      <w:r w:rsidRPr="001E5F1B">
        <w:rPr>
          <w:sz w:val="28"/>
          <w:szCs w:val="28"/>
          <w:lang w:val="uk-UA"/>
        </w:rPr>
        <w:t>бюджетування</w:t>
      </w:r>
      <w:r>
        <w:rPr>
          <w:sz w:val="28"/>
          <w:szCs w:val="28"/>
          <w:lang w:val="uk-UA"/>
        </w:rPr>
        <w:t xml:space="preserve"> за оновленою типовою програмною класифікацією видатків та кредитування місцевого бюджету</w:t>
      </w:r>
      <w:r w:rsidRPr="00F60A15">
        <w:rPr>
          <w:sz w:val="28"/>
          <w:szCs w:val="28"/>
        </w:rPr>
        <w:t>.</w:t>
      </w:r>
    </w:p>
    <w:p w:rsidR="00BC3372" w:rsidRPr="00826683" w:rsidRDefault="00BC3372" w:rsidP="001117BE">
      <w:pPr>
        <w:rPr>
          <w:lang w:val="uk-UA"/>
        </w:rPr>
      </w:pPr>
    </w:p>
    <w:p w:rsidR="001117BE" w:rsidRPr="00E218FC" w:rsidRDefault="001117BE" w:rsidP="001117BE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lang w:val="uk-UA"/>
        </w:rPr>
      </w:pPr>
      <w:r w:rsidRPr="00E80157">
        <w:rPr>
          <w:rFonts w:ascii="Times New Roman" w:hAnsi="Times New Roman" w:cs="Times New Roman"/>
          <w:i w:val="0"/>
          <w:lang w:val="uk-UA"/>
        </w:rPr>
        <w:t>Оцінка</w:t>
      </w:r>
      <w:r w:rsidRPr="0033620D">
        <w:rPr>
          <w:rFonts w:ascii="Times New Roman" w:hAnsi="Times New Roman" w:cs="Times New Roman"/>
          <w:i w:val="0"/>
          <w:lang w:val="uk-UA"/>
        </w:rPr>
        <w:t xml:space="preserve"> </w:t>
      </w:r>
      <w:r w:rsidRPr="00E80157">
        <w:rPr>
          <w:rFonts w:ascii="Times New Roman" w:hAnsi="Times New Roman" w:cs="Times New Roman"/>
          <w:i w:val="0"/>
          <w:lang w:val="uk-UA"/>
        </w:rPr>
        <w:t>доходів</w:t>
      </w:r>
      <w:r w:rsidRPr="0033620D">
        <w:rPr>
          <w:rFonts w:ascii="Times New Roman" w:hAnsi="Times New Roman" w:cs="Times New Roman"/>
          <w:i w:val="0"/>
          <w:lang w:val="uk-UA"/>
        </w:rPr>
        <w:t xml:space="preserve"> бюджету</w:t>
      </w:r>
      <w:r>
        <w:rPr>
          <w:rFonts w:ascii="Times New Roman" w:hAnsi="Times New Roman" w:cs="Times New Roman"/>
          <w:i w:val="0"/>
          <w:lang w:val="uk-UA"/>
        </w:rPr>
        <w:t xml:space="preserve"> міської територіальної громади</w:t>
      </w:r>
    </w:p>
    <w:p w:rsidR="001117BE" w:rsidRDefault="001117BE" w:rsidP="001117BE">
      <w:pPr>
        <w:ind w:firstLine="851"/>
        <w:jc w:val="both"/>
        <w:rPr>
          <w:bCs/>
          <w:sz w:val="28"/>
          <w:szCs w:val="28"/>
          <w:lang w:val="uk-UA"/>
        </w:rPr>
      </w:pPr>
      <w:r w:rsidRPr="00670D6D">
        <w:rPr>
          <w:b/>
          <w:i/>
          <w:sz w:val="28"/>
          <w:szCs w:val="28"/>
          <w:lang w:val="uk-UA"/>
        </w:rPr>
        <w:t>Загальний розмір доходів бюджету з урахуванням міжбюджетних трансфертів</w:t>
      </w:r>
      <w:r w:rsidRPr="00670D6D">
        <w:rPr>
          <w:bCs/>
          <w:sz w:val="28"/>
          <w:szCs w:val="28"/>
          <w:lang w:val="uk-UA"/>
        </w:rPr>
        <w:t xml:space="preserve"> визначений у сумі </w:t>
      </w:r>
      <w:r w:rsidRPr="00B7427C">
        <w:rPr>
          <w:bCs/>
          <w:sz w:val="28"/>
          <w:szCs w:val="28"/>
        </w:rPr>
        <w:t xml:space="preserve"> </w:t>
      </w:r>
      <w:r w:rsidRPr="00ED785F">
        <w:rPr>
          <w:bCs/>
          <w:sz w:val="28"/>
          <w:szCs w:val="28"/>
        </w:rPr>
        <w:t>1</w:t>
      </w:r>
      <w:r w:rsidR="00150E6F" w:rsidRPr="00150E6F">
        <w:rPr>
          <w:bCs/>
          <w:sz w:val="28"/>
          <w:szCs w:val="28"/>
        </w:rPr>
        <w:t>91</w:t>
      </w:r>
      <w:r>
        <w:rPr>
          <w:bCs/>
          <w:sz w:val="28"/>
          <w:szCs w:val="28"/>
          <w:lang w:val="uk-UA"/>
        </w:rPr>
        <w:t> </w:t>
      </w:r>
      <w:r w:rsidR="00150E6F" w:rsidRPr="00150E6F">
        <w:rPr>
          <w:bCs/>
          <w:sz w:val="28"/>
          <w:szCs w:val="28"/>
        </w:rPr>
        <w:t>823</w:t>
      </w:r>
      <w:r>
        <w:rPr>
          <w:bCs/>
          <w:sz w:val="28"/>
          <w:szCs w:val="28"/>
          <w:lang w:val="uk-UA"/>
        </w:rPr>
        <w:t>,</w:t>
      </w:r>
      <w:r w:rsidR="00150E6F" w:rsidRPr="00150E6F">
        <w:rPr>
          <w:bCs/>
          <w:sz w:val="28"/>
          <w:szCs w:val="28"/>
        </w:rPr>
        <w:t>4</w:t>
      </w:r>
      <w:r w:rsidRPr="00B742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тис. грн.</w:t>
      </w:r>
      <w:r w:rsidRPr="00670D6D">
        <w:rPr>
          <w:bCs/>
          <w:sz w:val="28"/>
          <w:szCs w:val="28"/>
          <w:lang w:val="uk-UA"/>
        </w:rPr>
        <w:t xml:space="preserve"> у тому числі</w:t>
      </w:r>
      <w:r>
        <w:rPr>
          <w:bCs/>
          <w:sz w:val="28"/>
          <w:szCs w:val="28"/>
          <w:lang w:val="uk-UA"/>
        </w:rPr>
        <w:t>:</w:t>
      </w:r>
      <w:r w:rsidRPr="00670D6D">
        <w:rPr>
          <w:bCs/>
          <w:sz w:val="28"/>
          <w:szCs w:val="28"/>
          <w:lang w:val="uk-UA"/>
        </w:rPr>
        <w:t xml:space="preserve"> </w:t>
      </w:r>
    </w:p>
    <w:p w:rsidR="001117BE" w:rsidRDefault="001117BE" w:rsidP="001117BE">
      <w:pPr>
        <w:ind w:firstLine="851"/>
        <w:jc w:val="both"/>
        <w:rPr>
          <w:bCs/>
          <w:sz w:val="28"/>
          <w:szCs w:val="28"/>
          <w:lang w:val="uk-UA"/>
        </w:rPr>
      </w:pPr>
      <w:r w:rsidRPr="00670D6D">
        <w:rPr>
          <w:bCs/>
          <w:sz w:val="28"/>
          <w:szCs w:val="28"/>
          <w:lang w:val="uk-UA"/>
        </w:rPr>
        <w:t>загального фонду –</w:t>
      </w:r>
      <w:r w:rsidRPr="005523D3">
        <w:rPr>
          <w:bCs/>
          <w:sz w:val="28"/>
          <w:szCs w:val="28"/>
        </w:rPr>
        <w:t xml:space="preserve">  </w:t>
      </w:r>
      <w:r w:rsidR="00586412">
        <w:rPr>
          <w:bCs/>
          <w:sz w:val="28"/>
          <w:szCs w:val="28"/>
          <w:lang w:val="uk-UA"/>
        </w:rPr>
        <w:t>1</w:t>
      </w:r>
      <w:r w:rsidR="00150E6F">
        <w:rPr>
          <w:bCs/>
          <w:sz w:val="28"/>
          <w:szCs w:val="28"/>
          <w:lang w:val="en-US"/>
        </w:rPr>
        <w:t>87</w:t>
      </w:r>
      <w:r w:rsidR="00586412">
        <w:rPr>
          <w:bCs/>
          <w:sz w:val="28"/>
          <w:szCs w:val="28"/>
          <w:lang w:val="uk-UA"/>
        </w:rPr>
        <w:t> 9</w:t>
      </w:r>
      <w:r w:rsidR="00586412">
        <w:rPr>
          <w:bCs/>
          <w:sz w:val="28"/>
          <w:szCs w:val="28"/>
        </w:rPr>
        <w:t>4</w:t>
      </w:r>
      <w:r w:rsidR="00150E6F">
        <w:rPr>
          <w:bCs/>
          <w:sz w:val="28"/>
          <w:szCs w:val="28"/>
          <w:lang w:val="en-US"/>
        </w:rPr>
        <w:t>1</w:t>
      </w:r>
      <w:r>
        <w:rPr>
          <w:bCs/>
          <w:sz w:val="28"/>
          <w:szCs w:val="28"/>
          <w:lang w:val="uk-UA"/>
        </w:rPr>
        <w:t>,</w:t>
      </w:r>
      <w:r w:rsidR="00150E6F">
        <w:rPr>
          <w:bCs/>
          <w:sz w:val="28"/>
          <w:szCs w:val="28"/>
          <w:lang w:val="en-US"/>
        </w:rPr>
        <w:t>0</w:t>
      </w:r>
      <w:r w:rsidRPr="005523D3">
        <w:rPr>
          <w:bCs/>
          <w:sz w:val="28"/>
          <w:szCs w:val="28"/>
        </w:rPr>
        <w:t xml:space="preserve">  </w:t>
      </w:r>
      <w:r w:rsidRPr="00670D6D">
        <w:rPr>
          <w:bCs/>
          <w:sz w:val="28"/>
          <w:szCs w:val="28"/>
          <w:lang w:val="uk-UA"/>
        </w:rPr>
        <w:t xml:space="preserve">тис. грн., </w:t>
      </w:r>
    </w:p>
    <w:p w:rsidR="001117BE" w:rsidRPr="00670D6D" w:rsidRDefault="001117BE" w:rsidP="001117BE">
      <w:pPr>
        <w:ind w:firstLine="851"/>
        <w:jc w:val="both"/>
        <w:rPr>
          <w:bCs/>
          <w:sz w:val="28"/>
          <w:szCs w:val="28"/>
        </w:rPr>
      </w:pPr>
      <w:r w:rsidRPr="00670D6D">
        <w:rPr>
          <w:bCs/>
          <w:sz w:val="28"/>
          <w:szCs w:val="28"/>
          <w:lang w:val="uk-UA"/>
        </w:rPr>
        <w:t>спеціального фонду –</w:t>
      </w:r>
      <w:r>
        <w:rPr>
          <w:bCs/>
          <w:sz w:val="28"/>
          <w:szCs w:val="28"/>
          <w:lang w:val="uk-UA"/>
        </w:rPr>
        <w:t xml:space="preserve">  3 882,4 </w:t>
      </w:r>
      <w:r w:rsidRPr="00670D6D">
        <w:rPr>
          <w:bCs/>
          <w:sz w:val="28"/>
          <w:szCs w:val="28"/>
          <w:lang w:val="uk-UA"/>
        </w:rPr>
        <w:t xml:space="preserve">тис. гривень. </w:t>
      </w:r>
      <w:r>
        <w:rPr>
          <w:bCs/>
          <w:sz w:val="28"/>
          <w:szCs w:val="28"/>
          <w:lang w:val="uk-UA"/>
        </w:rPr>
        <w:t xml:space="preserve"> </w:t>
      </w:r>
    </w:p>
    <w:p w:rsidR="001117BE" w:rsidRPr="00FE222E" w:rsidRDefault="001117BE" w:rsidP="001117BE">
      <w:pPr>
        <w:ind w:firstLine="851"/>
        <w:jc w:val="both"/>
        <w:rPr>
          <w:b/>
          <w:sz w:val="28"/>
          <w:szCs w:val="28"/>
          <w:lang w:val="uk-UA"/>
        </w:rPr>
      </w:pPr>
      <w:r w:rsidRPr="00FE222E">
        <w:rPr>
          <w:b/>
          <w:sz w:val="28"/>
          <w:szCs w:val="28"/>
          <w:lang w:val="uk-UA"/>
        </w:rPr>
        <w:t>З державного бюджету передбачено:</w:t>
      </w:r>
    </w:p>
    <w:p w:rsidR="001117BE" w:rsidRDefault="001117BE" w:rsidP="001117BE">
      <w:pPr>
        <w:ind w:firstLine="851"/>
        <w:jc w:val="both"/>
        <w:rPr>
          <w:sz w:val="28"/>
          <w:szCs w:val="28"/>
          <w:lang w:val="en-US"/>
        </w:rPr>
      </w:pPr>
      <w:r w:rsidRPr="00DC156E">
        <w:rPr>
          <w:sz w:val="28"/>
          <w:szCs w:val="28"/>
          <w:lang w:val="uk-UA"/>
        </w:rPr>
        <w:t>базова дотація у сумі 3</w:t>
      </w:r>
      <w:r>
        <w:rPr>
          <w:sz w:val="28"/>
          <w:szCs w:val="28"/>
          <w:lang w:val="uk-UA"/>
        </w:rPr>
        <w:t>4 639,2</w:t>
      </w:r>
      <w:r w:rsidRPr="00DC156E">
        <w:rPr>
          <w:sz w:val="28"/>
          <w:szCs w:val="28"/>
          <w:lang w:val="uk-UA"/>
        </w:rPr>
        <w:t xml:space="preserve"> тис.грн.,</w:t>
      </w:r>
    </w:p>
    <w:p w:rsidR="00E9221F" w:rsidRPr="00DC156E" w:rsidRDefault="00E9221F" w:rsidP="00E9221F">
      <w:pPr>
        <w:ind w:firstLine="851"/>
        <w:jc w:val="both"/>
        <w:rPr>
          <w:sz w:val="28"/>
          <w:szCs w:val="28"/>
          <w:lang w:val="uk-UA"/>
        </w:rPr>
      </w:pPr>
      <w:r w:rsidRPr="00DC156E">
        <w:rPr>
          <w:sz w:val="28"/>
          <w:szCs w:val="28"/>
          <w:lang w:val="uk-UA"/>
        </w:rPr>
        <w:t xml:space="preserve">освітня субвенція–  </w:t>
      </w:r>
      <w:r>
        <w:rPr>
          <w:sz w:val="28"/>
          <w:szCs w:val="28"/>
          <w:lang w:val="en-US"/>
        </w:rPr>
        <w:t>52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0</w:t>
      </w:r>
      <w:r w:rsidRPr="00DC156E">
        <w:rPr>
          <w:sz w:val="28"/>
          <w:szCs w:val="28"/>
          <w:lang w:val="uk-UA"/>
        </w:rPr>
        <w:t xml:space="preserve"> тис. грн., </w:t>
      </w:r>
    </w:p>
    <w:p w:rsidR="00ED0B59" w:rsidRPr="004F45D6" w:rsidRDefault="00ED0B59" w:rsidP="00ED0B59">
      <w:pPr>
        <w:ind w:firstLine="851"/>
        <w:jc w:val="both"/>
        <w:rPr>
          <w:i/>
          <w:sz w:val="28"/>
          <w:szCs w:val="28"/>
          <w:lang w:val="uk-UA"/>
        </w:rPr>
      </w:pPr>
      <w:r w:rsidRPr="00A6091A">
        <w:rPr>
          <w:b/>
          <w:sz w:val="28"/>
          <w:szCs w:val="28"/>
          <w:lang w:val="en-US"/>
        </w:rPr>
        <w:t>C</w:t>
      </w:r>
      <w:r w:rsidRPr="00A6091A">
        <w:rPr>
          <w:b/>
          <w:sz w:val="28"/>
          <w:szCs w:val="28"/>
          <w:lang w:val="uk-UA"/>
        </w:rPr>
        <w:t>убвенції з місцевого бюджету:</w:t>
      </w:r>
    </w:p>
    <w:p w:rsidR="00ED0B59" w:rsidRDefault="00ED0B59" w:rsidP="00ED0B59">
      <w:pPr>
        <w:ind w:firstLine="851"/>
        <w:jc w:val="both"/>
        <w:rPr>
          <w:sz w:val="28"/>
          <w:szCs w:val="28"/>
          <w:lang w:val="uk-UA"/>
        </w:rPr>
      </w:pPr>
      <w:r w:rsidRPr="00DC156E">
        <w:rPr>
          <w:sz w:val="28"/>
          <w:szCs w:val="28"/>
          <w:lang w:val="uk-UA"/>
        </w:rPr>
        <w:t>інші субвенції з місцевого бюджету – 2</w:t>
      </w:r>
      <w:r w:rsidRPr="006D73AE">
        <w:rPr>
          <w:sz w:val="28"/>
          <w:szCs w:val="28"/>
          <w:lang w:val="uk-UA"/>
        </w:rPr>
        <w:t>3</w:t>
      </w:r>
      <w:r w:rsidRPr="00DC156E">
        <w:rPr>
          <w:sz w:val="28"/>
          <w:szCs w:val="28"/>
          <w:lang w:val="uk-UA"/>
        </w:rPr>
        <w:t>,9 тис.грн.(пільгове медичне обслуговування осіб, які постраждали внаслідок Чорнобильської катастрофи),</w:t>
      </w:r>
    </w:p>
    <w:p w:rsidR="00796088" w:rsidRDefault="00796088" w:rsidP="0079608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субвенція</w:t>
      </w:r>
      <w:r w:rsidRPr="00DC156E">
        <w:rPr>
          <w:sz w:val="28"/>
          <w:szCs w:val="28"/>
          <w:lang w:val="uk-UA"/>
        </w:rPr>
        <w:t xml:space="preserve"> з місцевого бюджету</w:t>
      </w:r>
      <w:r>
        <w:rPr>
          <w:sz w:val="28"/>
          <w:szCs w:val="28"/>
          <w:lang w:val="uk-UA"/>
        </w:rPr>
        <w:t xml:space="preserve"> на здійснення переданих видатків у сфері освіти за рахунок коштів освітньої субвенції -670,4 тис.грн.</w:t>
      </w:r>
    </w:p>
    <w:p w:rsidR="006D2662" w:rsidRPr="00796088" w:rsidRDefault="006D2662" w:rsidP="00796088">
      <w:pPr>
        <w:ind w:firstLine="851"/>
        <w:jc w:val="both"/>
        <w:rPr>
          <w:sz w:val="28"/>
          <w:szCs w:val="28"/>
          <w:lang w:val="uk-UA"/>
        </w:rPr>
      </w:pPr>
    </w:p>
    <w:p w:rsidR="006D73AE" w:rsidRPr="00E33670" w:rsidRDefault="006D73AE" w:rsidP="006D73AE">
      <w:pPr>
        <w:spacing w:after="200" w:line="276" w:lineRule="auto"/>
        <w:jc w:val="center"/>
        <w:rPr>
          <w:rFonts w:eastAsia="Calibri"/>
          <w:sz w:val="32"/>
          <w:szCs w:val="32"/>
          <w:lang w:val="uk-UA" w:eastAsia="en-US"/>
        </w:rPr>
      </w:pPr>
      <w:r w:rsidRPr="00E33670">
        <w:rPr>
          <w:rFonts w:eastAsia="Calibri"/>
          <w:b/>
          <w:sz w:val="32"/>
          <w:szCs w:val="32"/>
          <w:lang w:val="uk-UA" w:eastAsia="en-US"/>
        </w:rPr>
        <w:lastRenderedPageBreak/>
        <w:t>Структ</w:t>
      </w:r>
      <w:r>
        <w:rPr>
          <w:rFonts w:eastAsia="Calibri"/>
          <w:b/>
          <w:sz w:val="32"/>
          <w:szCs w:val="32"/>
          <w:lang w:val="uk-UA" w:eastAsia="en-US"/>
        </w:rPr>
        <w:t xml:space="preserve">ура доходів бюджету Носівської </w:t>
      </w:r>
      <w:r w:rsidRPr="00E33670">
        <w:rPr>
          <w:rFonts w:eastAsia="Calibri"/>
          <w:b/>
          <w:sz w:val="32"/>
          <w:szCs w:val="32"/>
          <w:lang w:val="uk-UA" w:eastAsia="en-US"/>
        </w:rPr>
        <w:t>ТГ на 20</w:t>
      </w:r>
      <w:r>
        <w:rPr>
          <w:rFonts w:eastAsia="Calibri"/>
          <w:b/>
          <w:sz w:val="32"/>
          <w:szCs w:val="32"/>
          <w:lang w:val="uk-UA" w:eastAsia="en-US"/>
        </w:rPr>
        <w:t>2</w:t>
      </w:r>
      <w:r w:rsidRPr="005070AB">
        <w:rPr>
          <w:rFonts w:eastAsia="Calibri"/>
          <w:b/>
          <w:sz w:val="32"/>
          <w:szCs w:val="32"/>
          <w:lang w:eastAsia="en-US"/>
        </w:rPr>
        <w:t>3</w:t>
      </w:r>
      <w:r w:rsidRPr="00E33670">
        <w:rPr>
          <w:rFonts w:eastAsia="Calibri"/>
          <w:b/>
          <w:sz w:val="32"/>
          <w:szCs w:val="32"/>
          <w:lang w:val="uk-UA" w:eastAsia="en-US"/>
        </w:rPr>
        <w:t xml:space="preserve"> рік</w:t>
      </w:r>
    </w:p>
    <w:p w:rsidR="006D73AE" w:rsidRPr="00D6596B" w:rsidRDefault="006D73AE" w:rsidP="006D73AE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6D73AE" w:rsidRPr="00D6596B" w:rsidRDefault="009E7D36" w:rsidP="006D73AE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258445</wp:posOffset>
                </wp:positionV>
                <wp:extent cx="484505" cy="621665"/>
                <wp:effectExtent l="19050" t="0" r="0" b="2603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621665"/>
                        </a:xfrm>
                        <a:prstGeom prst="downArrow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24A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212.7pt;margin-top:20.35pt;width:38.1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ttfgIAACsFAAAOAAAAZHJzL2Uyb0RvYy54bWysVFtv2jAUfp+0/2D5fQ2gQNuIUDEQ0yTW&#10;IrVTnw+OQ6I5Pp5tCN2v37ETKOv2ME3Lg3VuPpcv3/H07tgodpDW1ahzPrwacCa1wKLWu5x/fVp9&#10;uOHMedAFKNQy5y/S8bvZ+3fT1mRyhBWqQlpGSbTLWpPzynuTJYkTlWzAXaGRmpwl2gY8qXaXFBZa&#10;yt6oZDQYTJIWbWEsCukcWZedk89i/rKUwj+UpZOeqZxTbz6eNp7bcCazKWQ7C6aqRd8G/EMXDdSa&#10;ip5TLcED29v6t1RNLSw6LP2VwCbBsqyFjDPQNMPBm2keKzAyzkLgOHOGyf2/tOL+8Gg2NrTuzBrF&#10;N0eIJK1x2dkTFNfHHEvbhFhqnB0jii9nFOXRM0HG9CYdD8acCXJNRsPJZBxQTiA7XTbW+U8SGxaE&#10;nBfY6rm12EYA4bB2vos/xcXmUNXFqlYqKna3XSjLDkB/dbhKb6+X8a7aN1+w6MyTAX3d7yUzkaAz&#10;pycz9eO6NLE3d5lfadbmfDSmYBoDiJalAk9iY4qcO73jDNSO+C68jYV/ud2n7eutboYfu+5cBYXs&#10;rOO/6SKMvwRXdVdiiR5IpQMKMtK7R+v1JwVpi8XLxjKLHd+dEauasq3B+Q1YIjjNRUvrH+goFdKw&#10;2EucVWh//Mke4ol35OWspYUhIL7vwUrO1GdNjLwdpmnYsKik4+sRKfbSs7306H2zwPD36HkwIooh&#10;3quTWFpsnmm356EquUALqt1B3isL3y0yvQ5CzucxjLbKgF/rRyNC8oBTwPHp+AzW9ITzxNR7PC0X&#10;ZG8o18WGmxrne49lHfn4imu/ILSRkTr96xFW/lKPUa9v3OwnAAAA//8DAFBLAwQUAAYACAAAACEA&#10;LU1LqN0AAAAKAQAADwAAAGRycy9kb3ducmV2LnhtbEyPwU7DMAyG70i8Q2QkbizpWMdUmk4IiQMH&#10;kBhcuKWJaao1TtVka3l7zAluv+VPvz/X+yUM4oxT6iNpKFYKBJKNrqdOw8f7080ORMqGnBkioYZv&#10;TLBvLi9qU7k40xueD7kTXEKpMhp8zmMlZbIeg0mrOCLx7itOwWQep066ycxcHga5Vmorg+mJL3gz&#10;4qNHezycggb7+Zzt7Iuylf44v+bhRRXotL6+Wh7uQWRc8h8Mv/qsDg07tfFELolBw2ZdbhjloO5A&#10;MFCqgkPL5O1uC7Kp5f8Xmh8AAAD//wMAUEsBAi0AFAAGAAgAAAAhALaDOJL+AAAA4QEAABMAAAAA&#10;AAAAAAAAAAAAAAAAAFtDb250ZW50X1R5cGVzXS54bWxQSwECLQAUAAYACAAAACEAOP0h/9YAAACU&#10;AQAACwAAAAAAAAAAAAAAAAAvAQAAX3JlbHMvLnJlbHNQSwECLQAUAAYACAAAACEAk6uLbX4CAAAr&#10;BQAADgAAAAAAAAAAAAAAAAAuAgAAZHJzL2Uyb0RvYy54bWxQSwECLQAUAAYACAAAACEALU1LqN0A&#10;AAAKAQAADwAAAAAAAAAAAAAAAADYBAAAZHJzL2Rvd25yZXYueG1sUEsFBgAAAAAEAAQA8wAAAOIF&#10;AAAAAA==&#10;" adj="13183" fillcolor="#558ed5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258445</wp:posOffset>
                </wp:positionV>
                <wp:extent cx="484505" cy="650240"/>
                <wp:effectExtent l="19050" t="0" r="0" b="16510"/>
                <wp:wrapNone/>
                <wp:docPr id="243931646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650240"/>
                        </a:xfrm>
                        <a:prstGeom prst="downArrow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0104" id="Стрелка: вниз 1" o:spid="_x0000_s1026" type="#_x0000_t67" style="position:absolute;margin-left:69pt;margin-top:20.35pt;width:38.1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jjgAIAACsFAAAOAAAAZHJzL2Uyb0RvYy54bWysVMlu2zAQvRfoPxC815INOYsQOXBtuCjg&#10;JgGSIucxRVlCKQ5L0pbTr++Qkh037aEoqoPAWTjLmze8uT20iu2ldQ3qgo9HKWdSCywbvS3416fV&#10;hyvOnAddgkItC/4iHb+dvX9305lcTrBGVUrLKIh2eWcKXntv8iRxopYtuBEaqclYoW3Bk2i3SWmh&#10;o+itSiZpepF0aEtjUUjnSLvsjXwW41eVFP6+qpz0TBWcavPxb+N/E/7J7AbyrQVTN2IoA/6hihYa&#10;TUlPoZbgge1s81uothEWHVZ+JLBNsKoaIWMP1M04fdPNYw1Gxl4IHGdOMLn/F1bc7R/Ngw2lO7NG&#10;8c0RIklnXH6yBMENPofKtsGXCmeHiOLLCUV58EyQMrvKpumUM0Gmi2k6ySLKCeTHy8Y6/0liy8Kh&#10;4CV2em4tdhFA2K+dDzVAfvSLxaFqylWjVBTsdrNQlu2BpjpeZdeXy3hX7dovWPbqi5S+frykJhL0&#10;6uyopviuDxNzufP4SrOu4JMpOVMbQLSsFHg6tqYsuNNbzkBtie/C25j4l9tD2CHf6mr8sa/O1VDK&#10;Xjv9mypC+0twdX8lpgj9UOFKBxRkpPeA1uuQwmmD5cuDZRZ7vjsjVg1FW4PzD2CJ4NQXLa2/p1+l&#10;kJrF4cRZjfbHn/TBn3hHVs46WhgC4vsOrORMfdbEyOtxRpNmPgrZ9HJCgj23bM4tetcuMEyPngcj&#10;4jH4e3U8VhbbZ9rtechKJtCCcveQD8LC94tMr4OQ83l0o60y4Nf60YgQPOAUcHw6PIM1A+E8MfUO&#10;j8sF+RvK9b7hpsb5zmPVRD6+4josCG1knMbweoSVP5ej1+sbN/sJAAD//wMAUEsDBBQABgAIAAAA&#10;IQCEv1c73gAAAAoBAAAPAAAAZHJzL2Rvd25yZXYueG1sTI/NTsMwEITvSLyDtUjcqPMnqEKcCiEh&#10;EOJCCvS6tU2SEq9D7Lbh7dme4Dia0cw31Wp2gzjYKfSeFKSLBIQl7U1PrYK39cPVEkSISAYHT1bB&#10;jw2wqs/PKiyNP9KrPTSxFVxCoUQFXYxjKWXQnXUYFn60xN6nnxxGllMrzYRHLneDzJLkWjrsiRc6&#10;HO19Z/VXs3cK1pk2+qPB8P3y1IfNbrd5x+dHpS4v5rtbENHO8S8MJ3xGh5qZtn5PJoiBdb7kL1FB&#10;kdyA4ECWFjmILTtFnoKsK/n/Qv0LAAD//wMAUEsBAi0AFAAGAAgAAAAhALaDOJL+AAAA4QEAABMA&#10;AAAAAAAAAAAAAAAAAAAAAFtDb250ZW50X1R5cGVzXS54bWxQSwECLQAUAAYACAAAACEAOP0h/9YA&#10;AACUAQAACwAAAAAAAAAAAAAAAAAvAQAAX3JlbHMvLnJlbHNQSwECLQAUAAYACAAAACEANjZo44AC&#10;AAArBQAADgAAAAAAAAAAAAAAAAAuAgAAZHJzL2Uyb0RvYy54bWxQSwECLQAUAAYACAAAACEAhL9X&#10;O94AAAAKAQAADwAAAAAAAAAAAAAAAADaBAAAZHJzL2Rvd25yZXYueG1sUEsFBgAAAAAEAAQA8wAA&#10;AOUFAAAAAA==&#10;" adj="13553" fillcolor="#558ed5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-197485</wp:posOffset>
                </wp:positionV>
                <wp:extent cx="4972050" cy="678815"/>
                <wp:effectExtent l="0" t="0" r="0" b="6985"/>
                <wp:wrapNone/>
                <wp:docPr id="1223287512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0" cy="6788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3AE" w:rsidRPr="00960E42" w:rsidRDefault="006D73AE" w:rsidP="006D73AE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960E42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uk-UA"/>
                              </w:rPr>
                              <w:t xml:space="preserve">Доходи міського бюджету  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uk-UA"/>
                              </w:rPr>
                              <w:t>1</w:t>
                            </w:r>
                            <w:r w:rsidR="005F6E1E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uk-UA"/>
                              </w:rPr>
                              <w:t>91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uk-UA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en-US"/>
                              </w:rPr>
                              <w:t>8</w:t>
                            </w:r>
                            <w:r w:rsidR="005F6E1E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uk-UA"/>
                              </w:rPr>
                              <w:t>,</w:t>
                            </w:r>
                            <w:r w:rsidR="005F6E1E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uk-UA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960E42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uk-UA"/>
                              </w:rPr>
                              <w:t>тис.грн.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1.7pt;margin-top:-15.55pt;width:391.5pt;height:5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RrbAIAAP4EAAAOAAAAZHJzL2Uyb0RvYy54bWysVN9P2zAQfp+0/8Hy+0hatVAiUtRRdZpU&#10;AQImnq+O00RzfJ7tNmF//c5OWgrjaVoerDvf78/f5eq6axTbS+tq1DkfnaWcSS2wqPU25z+eVl9m&#10;nDkPugCFWub8RTp+Pf/86ao1mRxjhaqQllES7bLW5Lzy3mRJ4kQlG3BnaKQmY4m2AU+q3SaFhZay&#10;NyoZp+l50qItjEUhnaPbZW/k85i/LKXwd2XppGcq59Sbj6eN5yacyfwKsq0FU9ViaAP+oYsGak1F&#10;j6mW4IHtbP1XqqYWFh2W/kxgk2BZ1kLGGWiaUfpumscKjIyzEDjOHGFy/y+tuN0/mnsbWndmjeKn&#10;I0SS1rjsaAmKG3y60jbBlxpnXUTx5Yii7DwTdDm5vBinUwJbkO38YjYbTQPMCWSHaGOd/yaxYUHI&#10;ucWdLh7oqSKCsF873/sf/GJ3qOpiVSsVFbvd3CjL9kDPOlnNRl+XQwl36qY0a3M+nk7S0A0QvUoF&#10;nsTGFDl3essZqC3xVngba7+Jdh8UicUrKGRfeprSd6jcu8dB3+QJUyzBVX1INA0hSod8MtJ0GPoV&#10;7CD5btMRFEHcYPFyb5nFnsLOiFVNidfg/D1Y4iyNSHvo7+goFdLcOEicVWh/f3Qf/IlKZOWspR0g&#10;TH7twErO1HdNJLscTSZhaaIymdKzcmZPLZtTi941N0jvMaKNNyKKwd+rg1habJ5pXRehKplAC6rd&#10;oz8oN77fTVp4IReL6EaLYsCv9aMRIXmALED61D2DNQOFPJHvFg/7Atk7EvW+IVLjYuexrCPDXnEd&#10;OE9LFt9v+CGELT7Vo9frb2v+BwAA//8DAFBLAwQUAAYACAAAACEAwxOVVtwAAAAJAQAADwAAAGRy&#10;cy9kb3ducmV2LnhtbEyPwU7DMAyG70i8Q2QkblvSDbqoqzsN0O4wQLtmTdZWNE6VpF15e8IJjrY/&#10;/f7+cjfbnk3Gh84RQrYUwAzVTnfUIHy8HxYSWIiKtOodGYRvE2BX3d6UqtDuSm9mOsaGpRAKhUJo&#10;YxwKzkPdGqvC0g2G0u3ivFUxjb7h2qtrCrc9XwmRc6s6Sh9aNZjn1tRfx9EiWNF4IceT/Xxa1XRw&#10;r9PLZn9BvL+b91tg0czxD4Zf/aQOVXI6u5F0YD2CXD8kEmGxzjJgCZB5njZnhM2jBF6V/H+D6gcA&#10;AP//AwBQSwECLQAUAAYACAAAACEAtoM4kv4AAADhAQAAEwAAAAAAAAAAAAAAAAAAAAAAW0NvbnRl&#10;bnRfVHlwZXNdLnhtbFBLAQItABQABgAIAAAAIQA4/SH/1gAAAJQBAAALAAAAAAAAAAAAAAAAAC8B&#10;AABfcmVscy8ucmVsc1BLAQItABQABgAIAAAAIQC5/GRrbAIAAP4EAAAOAAAAAAAAAAAAAAAAAC4C&#10;AABkcnMvZTJvRG9jLnhtbFBLAQItABQABgAIAAAAIQDDE5VW3AAAAAkBAAAPAAAAAAAAAAAAAAAA&#10;AMYEAABkcnMvZG93bnJldi54bWxQSwUGAAAAAAQABADzAAAAzwUAAAAA&#10;" fillcolor="#4f81bd" strokecolor="#385d8a" strokeweight="2pt">
                <v:path arrowok="t"/>
                <v:textbox>
                  <w:txbxContent>
                    <w:p w:rsidR="006D73AE" w:rsidRPr="00960E42" w:rsidRDefault="006D73AE" w:rsidP="006D73AE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:lang w:val="uk-UA"/>
                        </w:rPr>
                      </w:pPr>
                      <w:r w:rsidRPr="00960E42">
                        <w:rPr>
                          <w:b/>
                          <w:color w:val="FFFF00"/>
                          <w:sz w:val="32"/>
                          <w:szCs w:val="32"/>
                          <w:lang w:val="uk-UA"/>
                        </w:rPr>
                        <w:t xml:space="preserve">Доходи міського бюджету  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  <w:lang w:val="uk-UA"/>
                        </w:rPr>
                        <w:t>1</w:t>
                      </w:r>
                      <w:r w:rsidR="005F6E1E">
                        <w:rPr>
                          <w:b/>
                          <w:color w:val="FFFF00"/>
                          <w:sz w:val="32"/>
                          <w:szCs w:val="32"/>
                          <w:lang w:val="uk-UA"/>
                        </w:rPr>
                        <w:t>91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  <w:lang w:val="uk-UA"/>
                        </w:rPr>
                        <w:t> 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  <w:lang w:val="en-US"/>
                        </w:rPr>
                        <w:t>8</w:t>
                      </w:r>
                      <w:r w:rsidR="005F6E1E">
                        <w:rPr>
                          <w:b/>
                          <w:color w:val="FFFF00"/>
                          <w:sz w:val="32"/>
                          <w:szCs w:val="32"/>
                          <w:lang w:val="uk-UA"/>
                        </w:rPr>
                        <w:t>2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  <w:lang w:val="en-US"/>
                        </w:rPr>
                        <w:t>3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  <w:lang w:val="uk-UA"/>
                        </w:rPr>
                        <w:t>,</w:t>
                      </w:r>
                      <w:r w:rsidR="005F6E1E">
                        <w:rPr>
                          <w:b/>
                          <w:color w:val="FFFF00"/>
                          <w:sz w:val="32"/>
                          <w:szCs w:val="32"/>
                          <w:lang w:val="uk-UA"/>
                        </w:rPr>
                        <w:t>4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960E42">
                        <w:rPr>
                          <w:b/>
                          <w:color w:val="FFFF00"/>
                          <w:sz w:val="32"/>
                          <w:szCs w:val="32"/>
                          <w:lang w:val="uk-UA"/>
                        </w:rPr>
                        <w:t>тис.грн.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73AE" w:rsidRPr="00D6596B" w:rsidRDefault="009E7D36" w:rsidP="006D73AE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6350</wp:posOffset>
                </wp:positionV>
                <wp:extent cx="484505" cy="621665"/>
                <wp:effectExtent l="19050" t="0" r="0" b="2603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621665"/>
                        </a:xfrm>
                        <a:prstGeom prst="downArrow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8F7B" id="Стрелка: вниз 1" o:spid="_x0000_s1026" type="#_x0000_t67" style="position:absolute;margin-left:367.3pt;margin-top:.5pt;width:38.15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ttfgIAACsFAAAOAAAAZHJzL2Uyb0RvYy54bWysVFtv2jAUfp+0/2D5fQ2gQNuIUDEQ0yTW&#10;IrVTnw+OQ6I5Pp5tCN2v37ETKOv2ME3Lg3VuPpcv3/H07tgodpDW1ahzPrwacCa1wKLWu5x/fVp9&#10;uOHMedAFKNQy5y/S8bvZ+3fT1mRyhBWqQlpGSbTLWpPzynuTJYkTlWzAXaGRmpwl2gY8qXaXFBZa&#10;yt6oZDQYTJIWbWEsCukcWZedk89i/rKUwj+UpZOeqZxTbz6eNp7bcCazKWQ7C6aqRd8G/EMXDdSa&#10;ip5TLcED29v6t1RNLSw6LP2VwCbBsqyFjDPQNMPBm2keKzAyzkLgOHOGyf2/tOL+8Gg2NrTuzBrF&#10;N0eIJK1x2dkTFNfHHEvbhFhqnB0jii9nFOXRM0HG9CYdD8acCXJNRsPJZBxQTiA7XTbW+U8SGxaE&#10;nBfY6rm12EYA4bB2vos/xcXmUNXFqlYqKna3XSjLDkB/dbhKb6+X8a7aN1+w6MyTAX3d7yUzkaAz&#10;pycz9eO6NLE3d5lfadbmfDSmYBoDiJalAk9iY4qcO73jDNSO+C68jYV/ud2n7eutboYfu+5cBYXs&#10;rOO/6SKMvwRXdVdiiR5IpQMKMtK7R+v1JwVpi8XLxjKLHd+dEauasq3B+Q1YIjjNRUvrH+goFdKw&#10;2EucVWh//Mke4ol35OWspYUhIL7vwUrO1GdNjLwdpmnYsKik4+sRKfbSs7306H2zwPD36HkwIooh&#10;3quTWFpsnmm356EquUALqt1B3isL3y0yvQ5CzucxjLbKgF/rRyNC8oBTwPHp+AzW9ITzxNR7PC0X&#10;ZG8o18WGmxrne49lHfn4imu/ILSRkTr96xFW/lKPUa9v3OwnAAAA//8DAFBLAwQUAAYACAAAACEA&#10;7CLm9twAAAAIAQAADwAAAGRycy9kb3ducmV2LnhtbEyPy07DMBBF90j8gzVI7KgdHiUJcSqExIIF&#10;SBQ23Tn2NI7qRxS7Tfh7hhVdjs7VnXObzeIdO+GUhhgkFCsBDIOOZgi9hO+v15sSWMoqGOViQAk/&#10;mGDTXl40qjZxDp942uaeUUlItZJgcx5rzpO26FVaxREDsX2cvMp0Tj03k5qp3Dt+K8SaezUE+mDV&#10;iC8W9WF79BL07i3r2RYPHbeH+SO7d1GgkfL6anl+ApZxyf9h+NMndWjJqYvHYBJzEh7v7tcUJUCT&#10;iJeFqIB1EqqyAt42/HxA+wsAAP//AwBQSwECLQAUAAYACAAAACEAtoM4kv4AAADhAQAAEwAAAAAA&#10;AAAAAAAAAAAAAAAAW0NvbnRlbnRfVHlwZXNdLnhtbFBLAQItABQABgAIAAAAIQA4/SH/1gAAAJQB&#10;AAALAAAAAAAAAAAAAAAAAC8BAABfcmVscy8ucmVsc1BLAQItABQABgAIAAAAIQCTq4ttfgIAACsF&#10;AAAOAAAAAAAAAAAAAAAAAC4CAABkcnMvZTJvRG9jLnhtbFBLAQItABQABgAIAAAAIQDsIub23AAA&#10;AAgBAAAPAAAAAAAAAAAAAAAAANgEAABkcnMvZG93bnJldi54bWxQSwUGAAAAAAQABADzAAAA4QUA&#10;AAAA&#10;" adj="13183" fillcolor="#558ed5" strokecolor="#385d8a" strokeweight="2pt">
                <v:path arrowok="t"/>
              </v:shape>
            </w:pict>
          </mc:Fallback>
        </mc:AlternateContent>
      </w:r>
    </w:p>
    <w:p w:rsidR="006D73AE" w:rsidRPr="00D6596B" w:rsidRDefault="006D73AE" w:rsidP="006D73AE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6D73AE" w:rsidRDefault="009E7D36" w:rsidP="006D73AE">
      <w:pPr>
        <w:spacing w:before="120"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142240</wp:posOffset>
                </wp:positionV>
                <wp:extent cx="1619250" cy="1038225"/>
                <wp:effectExtent l="0" t="0" r="0" b="9525"/>
                <wp:wrapNone/>
                <wp:docPr id="1451003349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1038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3AE" w:rsidRDefault="006D73AE" w:rsidP="006D73AE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60E42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Доходи спеціального фонду   </w:t>
                            </w:r>
                          </w:p>
                          <w:p w:rsidR="006D73AE" w:rsidRPr="00960E42" w:rsidRDefault="00E00184" w:rsidP="006D73AE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="006D73AE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 8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="006D73AE" w:rsidRPr="0087145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2</w:t>
                            </w:r>
                            <w:r w:rsidR="006D73A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6D73AE" w:rsidRPr="00960E42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 тис.грн.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333.45pt;margin-top:11.2pt;width:127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lHcQIAAAYFAAAOAAAAZHJzL2Uyb0RvYy54bWysVEtv2zAMvg/YfxB0X/1Y0rVGnSJrkGFA&#10;0BZrh50ZWY6NyaImKXG6Xz9KdtK062mYDwIpvj999NX1vlNsJ61rUZc8O0s5k1pg1epNyb8/Lj9c&#10;cOY86AoUalnyJ+n49ez9u6veFDLHBlUlLaMk2hW9KXnjvSmSxIlGduDO0EhNxhptB55Uu0kqCz1l&#10;71SSp+l50qOtjEUhnaPbxWDks5i/rqXwd3XtpGeq5NSbj6eN5zqcyewKio0F07RibAP+oYsOWk1F&#10;j6kW4IFtbftXqq4VFh3W/kxgl2Bdt0LGGWiaLH01zUMDRsZZCBxnjjC5/5dW3O4ezL0NrTuzQvHT&#10;ESJJb1xxtATFjT772nbBlxpn+4ji0xFFufdM0GV2nl3mUwJbkC1LP17k+TTgnEBxCDfW+S8SOxaE&#10;klvc6uobvVWEEHYr5wf/g19sD1VbLVulomI36xtl2Q7oXSfLi+zzYizhTt2UZn3J8+kkDe0A8atW&#10;4EnsTFVypzecgdoQcYW3sfaLaPdGkVi8gUoOpacpfYfKg3sc9EWeMMUCXDOERNMYonTIJyNPx6Gf&#10;0Q6S36/3rKVesxARbtZYPd1bZnGgsjNi2VL+FTh/D5a4S5PSPvo7OmqFND6OEmcN2t9v3Qd/ohRZ&#10;OetpFwiaX1uwkjP1VRPZLrPJJCxPVCbTTzkp9tSyPrXobXeD9CwZbb4RUQz+Xh3E2mL3g9Z2HqqS&#10;CbSg2sMjjMqNH3aUFl/I+Ty60cIY8Cv9YERIHpALyD7uf4A1I5M8kfAWD3sDxSsuDb4hUuN867Fu&#10;I9GecR25T8sWn3H8MYRtPtWj1/Pva/YHAAD//wMAUEsDBBQABgAIAAAAIQCl41cR3AAAAAoBAAAP&#10;AAAAZHJzL2Rvd25yZXYueG1sTI/BTsMwDIbvSLxDZCRuLFkEpe2aTgO0OwwQ16zJ2mqNUyVpV94e&#10;c4Kj7U+/v7/aLm5gsw2x96hgvRLALDbe9Ngq+Hjf3+XAYtJo9ODRKvi2Ebb19VWlS+Mv+GbnQ2oZ&#10;hWAstYIupbHkPDaddTqu/GiRbicfnE40hpaboC8U7gYuhci40z3Sh06P9rmzzfkwOQVOtEHk05f7&#10;fJIN7v3r/PK4Oyl1e7PsNsCSXdIfDL/6pA41OR39hCayQUGWZQWhCqS8B0ZAIde0OBKZPxTA64r/&#10;r1D/AAAA//8DAFBLAQItABQABgAIAAAAIQC2gziS/gAAAOEBAAATAAAAAAAAAAAAAAAAAAAAAABb&#10;Q29udGVudF9UeXBlc10ueG1sUEsBAi0AFAAGAAgAAAAhADj9If/WAAAAlAEAAAsAAAAAAAAAAAAA&#10;AAAALwEAAF9yZWxzLy5yZWxzUEsBAi0AFAAGAAgAAAAhAJD0GUdxAgAABgUAAA4AAAAAAAAAAAAA&#10;AAAALgIAAGRycy9lMm9Eb2MueG1sUEsBAi0AFAAGAAgAAAAhAKXjVxHcAAAACgEAAA8AAAAAAAAA&#10;AAAAAAAAywQAAGRycy9kb3ducmV2LnhtbFBLBQYAAAAABAAEAPMAAADUBQAAAAA=&#10;" fillcolor="#4f81bd" strokecolor="#385d8a" strokeweight="2pt">
                <v:path arrowok="t"/>
                <v:textbox>
                  <w:txbxContent>
                    <w:p w:rsidR="006D73AE" w:rsidRDefault="006D73AE" w:rsidP="006D73AE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</w:pPr>
                      <w:r w:rsidRPr="00960E42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Доходи спеціального фонду   </w:t>
                      </w:r>
                    </w:p>
                    <w:p w:rsidR="006D73AE" w:rsidRPr="00960E42" w:rsidRDefault="00E00184" w:rsidP="006D73AE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en-US"/>
                        </w:rPr>
                        <w:t>3</w:t>
                      </w:r>
                      <w:r w:rsidR="006D73AE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 8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en-US"/>
                        </w:rPr>
                        <w:t>8</w:t>
                      </w:r>
                      <w:r w:rsidR="006D73AE" w:rsidRPr="00871450">
                        <w:rPr>
                          <w:b/>
                          <w:color w:val="FFFF00"/>
                          <w:sz w:val="28"/>
                          <w:szCs w:val="28"/>
                        </w:rPr>
                        <w:t>2</w:t>
                      </w:r>
                      <w:r w:rsidR="006D73AE">
                        <w:rPr>
                          <w:b/>
                          <w:color w:val="FFFF00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en-US"/>
                        </w:rPr>
                        <w:t>4</w:t>
                      </w:r>
                      <w:r w:rsidR="006D73AE" w:rsidRPr="00960E42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 тис.грн.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142240</wp:posOffset>
                </wp:positionV>
                <wp:extent cx="1724025" cy="1095375"/>
                <wp:effectExtent l="0" t="0" r="9525" b="9525"/>
                <wp:wrapNone/>
                <wp:docPr id="1136111171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10953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3AE" w:rsidRPr="00960E42" w:rsidRDefault="006D73AE" w:rsidP="006D73AE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60E42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Міжбюджетні трансферти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      </w:t>
                            </w:r>
                            <w:r w:rsidRPr="00960E42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5F6E1E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87</w:t>
                            </w:r>
                            <w:r w:rsidR="005070AB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 6</w:t>
                            </w:r>
                            <w:r w:rsidR="005F6E1E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54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,</w:t>
                            </w:r>
                            <w:r w:rsidR="005F6E1E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  <w:r w:rsidRPr="00960E42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 тис.грн.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163.95pt;margin-top:11.2pt;width:135.7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xPcwIAAAYFAAAOAAAAZHJzL2Uyb0RvYy54bWysVN9v0zAQfkfif7D8zpKGlm3R0qmsKkKq&#10;tokN8Xx1nCbC8RnbbTL+es5O2nVjT4g8WD7f7+++y9V13yq2l9Y1qAs+OUs5k1pg2ehtwb8/rj5c&#10;cOY86BIUalnwJ+n49fz9u6vO5DLDGlUpLaMg2uWdKXjtvcmTxIlatuDO0EhNygptC55Eu01KCx1F&#10;b1WSpemnpENbGotCOkevy0HJ5zF+VUnh76rKSc9Uwak2H08bz004k/kV5FsLpm7EWAb8QxUtNJqS&#10;HkMtwQPb2eavUG0jLDqs/JnANsGqaoSMPVA3k/RVNw81GBl7IXCcOcLk/l9Ycbt/MPc2lO7MGsVP&#10;R4gknXH5URMEN9r0lW2DLRXO+oji0xFF2Xsm6HFynk3TbMaZIN0kvZx9PJ8FnBPID+7GOv9FYsvC&#10;peAWd7r8RrOKEMJ+7fxgf7CL5aFqylWjVBTsdnOjLNsDzXW6uph8Xo4p3KmZ0qwreDabpjR7AcSv&#10;SoGna2vKgju95QzUlogrvI25X3i7N5LE5DWUckg9S+k7ZB7MY6Mv4oQuluDqwSWqRhelQzwZeTo2&#10;/Yx2uPl+07OGas2CR3jZYPl0b5nFgcrOiFVD8dfg/D1Y4i51Svvo7+ioFFL7ON44q9H+fus92BOl&#10;SMtZR7tA0PzagZWcqa+ayHY5mU7D8kRhOjvPSLCnms2pRu/aG6SxTGjzjYjXYO/V4VpZbH/Q2i5C&#10;VlKBFpR7GMIo3PhhR2nxhVwsohktjAG/1g9GhOABuYDsY/8DrBmZ5ImEt3jYG8hfcWmwDZ4aFzuP&#10;VROJ9ozryH1atjjG8ccQtvlUjlbPv6/5HwAAAP//AwBQSwMEFAAGAAgAAAAhAGFOprXcAAAACgEA&#10;AA8AAABkcnMvZG93bnJldi54bWxMj8FOwzAMhu9IvENkJG4sIQy2lKbTAO3OBohr1mRtReNUSdqV&#10;t8ec4GbLn35/f7mZfc8mF1MXUMPtQgBzWAfbYaPh/W13swaWskFr+oBOw7dLsKkuL0pT2HDGvZsO&#10;uWEUgqkwGtqch4LzVLfOm7QIg0O6nUL0JtMaG26jOVO477kU4oF70yF9aM3gnltXfx1Gr8GLJor1&#10;+Ok/nmSNu/A6vay2J62vr+btI7Ds5vwHw68+qUNFTscwok2s13AnV4pQDVIugRFwrxQNRyLVUgGv&#10;Sv6/QvUDAAD//wMAUEsBAi0AFAAGAAgAAAAhALaDOJL+AAAA4QEAABMAAAAAAAAAAAAAAAAAAAAA&#10;AFtDb250ZW50X1R5cGVzXS54bWxQSwECLQAUAAYACAAAACEAOP0h/9YAAACUAQAACwAAAAAAAAAA&#10;AAAAAAAvAQAAX3JlbHMvLnJlbHNQSwECLQAUAAYACAAAACEAN7fsT3MCAAAGBQAADgAAAAAAAAAA&#10;AAAAAAAuAgAAZHJzL2Uyb0RvYy54bWxQSwECLQAUAAYACAAAACEAYU6mtdwAAAAKAQAADwAAAAAA&#10;AAAAAAAAAADNBAAAZHJzL2Rvd25yZXYueG1sUEsFBgAAAAAEAAQA8wAAANYFAAAAAA==&#10;" fillcolor="#4f81bd" strokecolor="#385d8a" strokeweight="2pt">
                <v:path arrowok="t"/>
                <v:textbox>
                  <w:txbxContent>
                    <w:p w:rsidR="006D73AE" w:rsidRPr="00960E42" w:rsidRDefault="006D73AE" w:rsidP="006D73AE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</w:pPr>
                      <w:r w:rsidRPr="00960E42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Міжбюджетні трансферти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      </w:t>
                      </w:r>
                      <w:r w:rsidRPr="00960E42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5F6E1E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87</w:t>
                      </w:r>
                      <w:r w:rsidR="005070AB">
                        <w:rPr>
                          <w:b/>
                          <w:color w:val="FFFF00"/>
                          <w:sz w:val="28"/>
                          <w:szCs w:val="28"/>
                          <w:lang w:val="en-US"/>
                        </w:rPr>
                        <w:t> 6</w:t>
                      </w:r>
                      <w:r w:rsidR="005F6E1E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54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,</w:t>
                      </w:r>
                      <w:r w:rsidR="005F6E1E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5</w:t>
                      </w:r>
                      <w:r w:rsidRPr="00960E42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 тис.грн.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142240</wp:posOffset>
                </wp:positionV>
                <wp:extent cx="1762125" cy="1162050"/>
                <wp:effectExtent l="0" t="0" r="9525" b="0"/>
                <wp:wrapNone/>
                <wp:docPr id="2044539057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3AE" w:rsidRPr="00960E42" w:rsidRDefault="006D73AE" w:rsidP="006D73AE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60E42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Власні доходи загального фонду    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           </w:t>
                            </w:r>
                            <w:r w:rsidRPr="00960E42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="005070AB" w:rsidRPr="005070AB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87145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2</w:t>
                            </w:r>
                            <w:r w:rsidR="005070AB" w:rsidRPr="005070AB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86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,</w:t>
                            </w:r>
                            <w:r w:rsidR="005070AB" w:rsidRPr="005070AB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5</w:t>
                            </w:r>
                            <w:r w:rsidRPr="00960E42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 тис.грн.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-2.55pt;margin-top:11.2pt;width:138.75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d9cwIAAAYFAAAOAAAAZHJzL2Uyb0RvYy54bWysVEtv2zAMvg/YfxB0X/1Y0nVGnSJrkGFA&#10;0BZrh54ZWY6NyaImKXG6Xz9KdtKs7WmYD4Iovj9+9OXVvlNsJ61rUZc8O0s5k1pg1epNyX88LD9c&#10;cOY86AoUalnyJ+n41ez9u8veFDLHBlUlLaMg2hW9KXnjvSmSxIlGduDO0EhNyhptB55Eu0kqCz1F&#10;71SSp+l50qOtjEUhnaPXxaDksxi/rqXwt3XtpGeq5FSbj6eN5zqcyewSio0F07RiLAP+oYoOWk1J&#10;j6EW4IFtbfsqVNcKiw5rfyawS7CuWyFjD9RNlr7o5r4BI2MvBI4zR5jc/wsrbnb35s6G0p1Zofjp&#10;CJGkN644aoLgRpt9bbtgS4WzfUTx6Yii3Hsm6DH7dJ5n+ZQzQbosO8/TacQ5geLgbqzzXyV2LFxK&#10;bnGrq+80qwgh7FbOhyqgONjF8lC11bJVKgp2s75Wlu2A5jpZXmRfFmGU5OJOzZRmfcnz6SSl2Qsg&#10;ftUKPF07U5Xc6Q1noDZEXOFtzP2Xt3sjSUzeQCWH1NOUvkPmwfx1FaGLBbhmcIkpRhelQzwZeTo2&#10;/Yx2uPn9es9aqvVj8Agva6ye7iyzOFDZGbFsKf4KnL8DS9ylTmkf/S0dtUJqH8cbZw3a32+9B3ui&#10;FGk562kXCJpfW7CSM/VNE9k+Z5NJWJ4oTKafchLsqWZ9qtHb7hppLBltvhHxGuy9Olxri90jre08&#10;ZCUVaEG5hyGMwrUfdpQWX8j5PJrRwhjwK31vRAgekAvIPuwfwZqRSZ5IeIOHvYHiBZcG2+Cpcb71&#10;WLeRaM+4jtynZYtjHH8MYZtP5Wj1/Pua/QEAAP//AwBQSwMEFAAGAAgAAAAhAAFP78bbAAAACQEA&#10;AA8AAABkcnMvZG93bnJldi54bWxMj8FOwzAQRO9I/IO1SNxau1ZLqzROVUC9QwFxdeNtEjVeR7GT&#10;hr9ne4LbrGY0+ybfTb4VI/axCWRgMVcgkMrgGqoMfH4cZhsQMVlytg2EBn4wwq64v8tt5sKV3nE8&#10;pkpwCcXMGqhT6jIpY1mjt3EeOiT2zqH3NvHZV9L19srlvpVaqSfpbUP8obYdvtRYXo6DN+BV1avN&#10;8O2/nnVJh/A2vq73Z2MeH6b9FkTCKf2F4YbP6FAw0ykM5KJoDcxWC04a0HoJgn29vokTC7Vagixy&#10;+X9B8QsAAP//AwBQSwECLQAUAAYACAAAACEAtoM4kv4AAADhAQAAEwAAAAAAAAAAAAAAAAAAAAAA&#10;W0NvbnRlbnRfVHlwZXNdLnhtbFBLAQItABQABgAIAAAAIQA4/SH/1gAAAJQBAAALAAAAAAAAAAAA&#10;AAAAAC8BAABfcmVscy8ucmVsc1BLAQItABQABgAIAAAAIQAv+kd9cwIAAAYFAAAOAAAAAAAAAAAA&#10;AAAAAC4CAABkcnMvZTJvRG9jLnhtbFBLAQItABQABgAIAAAAIQABT+/G2wAAAAkBAAAPAAAAAAAA&#10;AAAAAAAAAM0EAABkcnMvZG93bnJldi54bWxQSwUGAAAAAAQABADzAAAA1QUAAAAA&#10;" fillcolor="#4f81bd" strokecolor="#385d8a" strokeweight="2pt">
                <v:path arrowok="t"/>
                <v:textbox>
                  <w:txbxContent>
                    <w:p w:rsidR="006D73AE" w:rsidRPr="00960E42" w:rsidRDefault="006D73AE" w:rsidP="006D73AE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</w:pPr>
                      <w:r w:rsidRPr="00960E42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Власні доходи загального фонду    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           </w:t>
                      </w:r>
                      <w:r w:rsidRPr="00960E42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 w:rsidR="005070AB" w:rsidRPr="005070AB">
                        <w:rPr>
                          <w:b/>
                          <w:color w:val="FFFF00"/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871450">
                        <w:rPr>
                          <w:b/>
                          <w:color w:val="FFFF00"/>
                          <w:sz w:val="28"/>
                          <w:szCs w:val="28"/>
                        </w:rPr>
                        <w:t>2</w:t>
                      </w:r>
                      <w:r w:rsidR="005070AB" w:rsidRPr="005070AB">
                        <w:rPr>
                          <w:b/>
                          <w:color w:val="FFFF00"/>
                          <w:sz w:val="28"/>
                          <w:szCs w:val="28"/>
                        </w:rPr>
                        <w:t>86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,</w:t>
                      </w:r>
                      <w:r w:rsidR="005070AB" w:rsidRPr="005070AB">
                        <w:rPr>
                          <w:b/>
                          <w:color w:val="FFFF00"/>
                          <w:sz w:val="28"/>
                          <w:szCs w:val="28"/>
                        </w:rPr>
                        <w:t>5</w:t>
                      </w:r>
                      <w:r w:rsidRPr="00960E42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 тис.грн.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73AE" w:rsidRDefault="006D73AE" w:rsidP="006D73AE">
      <w:pPr>
        <w:spacing w:before="120" w:after="120"/>
        <w:ind w:firstLine="709"/>
        <w:jc w:val="both"/>
        <w:rPr>
          <w:b/>
          <w:sz w:val="28"/>
          <w:szCs w:val="28"/>
          <w:lang w:val="uk-UA"/>
        </w:rPr>
      </w:pPr>
    </w:p>
    <w:p w:rsidR="006D73AE" w:rsidRDefault="006D73AE" w:rsidP="006D73AE">
      <w:pPr>
        <w:spacing w:before="120" w:after="120"/>
        <w:ind w:firstLine="709"/>
        <w:jc w:val="both"/>
        <w:rPr>
          <w:b/>
          <w:sz w:val="28"/>
          <w:szCs w:val="28"/>
          <w:lang w:val="uk-UA"/>
        </w:rPr>
      </w:pPr>
    </w:p>
    <w:p w:rsidR="006D73AE" w:rsidRDefault="009E7D36" w:rsidP="006D73AE">
      <w:pPr>
        <w:spacing w:before="120"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170815</wp:posOffset>
                </wp:positionV>
                <wp:extent cx="471805" cy="692150"/>
                <wp:effectExtent l="19050" t="0" r="4445" b="1270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805" cy="692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0E7C" id="Стрелка: вниз 1" o:spid="_x0000_s1026" type="#_x0000_t67" style="position:absolute;margin-left:181.2pt;margin-top:13.45pt;width:37.15pt;height: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WZgIAAPIEAAAOAAAAZHJzL2Uyb0RvYy54bWysVEtv2zAMvg/YfxB0X2wHSR9GnSJLkGFA&#10;0BZoh54ZWY6NyaImKXG6Xz9KdtKs7WmYDwIpvj999M3toVVsL61rUBc8G6WcSS2wbPS24D+eVl+u&#10;OHMedAkKtSz4i3T8dvb5001ncjnGGlUpLaMk2uWdKXjtvcmTxIlatuBGaKQmY4W2BU+q3SalhY6y&#10;tyoZp+lF0qEtjUUhnaPbZW/ks5i/qqTw91XlpGeq4NSbj6eN5yacyewG8q0FUzdiaAP+oYsWGk1F&#10;T6mW4IHtbPMuVdsIiw4rPxLYJlhVjZBxBpomS99M81iDkXEWAseZE0zu/6UVd/tH82BD686sUfx0&#10;hEjSGZefLEFxg8+hsm3wpcbZIaL4ckJRHjwTdDm5zK7SKWeCTBfX42waUU4gPwYb6/w3iS0LQsFL&#10;7PTcWuwigLBfOx96gPzoF5tD1ZSrRqmo2O1moSzbA73qZHWVfV2Gh6QQd+6mNOsKPp5OUnp5AcSu&#10;SoEnsTVlwZ3ecgZqS7QV3sbaf0W7D4rE4jWUsi89Tek7Vu7d33cRpliCq/uQWGIIUTrkk5Glw9Cv&#10;WAdpg+XLg2UWe9o6I1YNZVuD8w9giac0F+2ev6ejUkjD4iBxVqP9/dF98Cf6kJWzjnhPQPzagZWc&#10;qe+aiHWdTSZhUaIymV6OSbHnls25Re/aBdIjZLTlRkQx+Ht1FCuL7TOt6DxUJRNoQbV7yAdl4ft9&#10;pCUXcj6PbrQcBvxaPxoRkgecAo5Ph2ewZuCNJ8Ld4XFHIH/DnN43RGqc7zxWTaTVK64Dz2mx4qMN&#10;P4Gwued69Hr9Vc3+AAAA//8DAFBLAwQUAAYACAAAACEALdvn0+EAAAAKAQAADwAAAGRycy9kb3du&#10;cmV2LnhtbEyPQUvEMBCF74L/IYzgzU1ta3Rr00UtIigIrspes83YVpukJulu9987nvQ4vI/3vilX&#10;sxnYDn3onZVwvkiAoW2c7m0r4e31/uwKWIjKajU4ixIOGGBVHR+VqtBub19wt44toxIbCiWhi3Es&#10;OA9Nh0aFhRvRUvbhvFGRTt9y7dWeys3A0yQR3Kje0kKnRrzrsPlaT0ZC/jA+fYvDo39+39xuRM3r&#10;fKo/pTw9mW+ugUWc4x8Mv/qkDhU5bd1kdWCDhEykOaESUrEERkCeiUtgWyKziyXwquT/X6h+AAAA&#10;//8DAFBLAQItABQABgAIAAAAIQC2gziS/gAAAOEBAAATAAAAAAAAAAAAAAAAAAAAAABbQ29udGVu&#10;dF9UeXBlc10ueG1sUEsBAi0AFAAGAAgAAAAhADj9If/WAAAAlAEAAAsAAAAAAAAAAAAAAAAALwEA&#10;AF9yZWxzLy5yZWxzUEsBAi0AFAAGAAgAAAAhAESo7RZmAgAA8gQAAA4AAAAAAAAAAAAAAAAALgIA&#10;AGRycy9lMm9Eb2MueG1sUEsBAi0AFAAGAAgAAAAhAC3b59PhAAAACgEAAA8AAAAAAAAAAAAAAAAA&#10;wAQAAGRycy9kb3ducmV2LnhtbFBLBQYAAAAABAAEAPMAAADOBQAAAAA=&#10;" adj="14238" fillcolor="#4f81bd" strokecolor="#385d8a" strokeweight="2pt">
                <v:path arrowok="t"/>
              </v:shape>
            </w:pict>
          </mc:Fallback>
        </mc:AlternateContent>
      </w:r>
    </w:p>
    <w:p w:rsidR="006D73AE" w:rsidRDefault="009E7D36" w:rsidP="006D73AE">
      <w:pPr>
        <w:spacing w:before="120"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114935</wp:posOffset>
                </wp:positionV>
                <wp:extent cx="439420" cy="692150"/>
                <wp:effectExtent l="19050" t="0" r="0" b="1270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420" cy="692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36D3" id="Стрелка: вниз 1" o:spid="_x0000_s1026" type="#_x0000_t67" style="position:absolute;margin-left:250.85pt;margin-top:9.05pt;width:34.6pt;height: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ueZQIAAPIEAAAOAAAAZHJzL2Uyb0RvYy54bWysVN9P2zAQfp+0/8Hy+0jbpQwiUtRRdZpU&#10;ARJMPF8du4nm+Dzbbcr++p2dtHTA07Q8WHe+35+/y9X1vtVsJ51v0JR8fDbiTBqBVWM2Jf/xuPx0&#10;wZkPYCrQaGTJn6Xn17OPH646W8gJ1qgr6RglMb7obMnrEGyRZV7UsgV/hlYaMip0LQRS3SarHHSU&#10;vdXZZDQ6zzp0lXUopPd0u+iNfJbyKyVFuFPKy8B0yam3kE6XznU8s9kVFBsHtm7E0Ab8QxctNIaK&#10;HlMtIADbuuZNqrYRDj2qcCawzVCpRsg0A00zHr2a5qEGK9MsBI63R5j8/0srbncP9t7F1r1dofjp&#10;CZGss744WqLiB5+9cm30pcbZPqH4fERR7gMTdJl/vswnhLUg0/nlZDxNKGdQHIKt8+GbxJZFoeQV&#10;dmbuHHYJQNitfIg9QHHwS82hbqplo3VS3GZ9ox3bAb1qvrwYf13Eh6QQf+qmDetKPpnmo9gNELuU&#10;hkBia6uSe7PhDPSGaCuCS7X/ivbvFEnFa6hkX3o6ou9QuXd/20WcYgG+7kNSiSFEm5hPJpYOQ79g&#10;HaU1Vs/3jjnsaeutWDaUbQU+3IMjntJctHvhjg6lkYbFQeKsRvf7vfvoT/QhK2cd8Z6A+LUFJznT&#10;3w0R63Kc53FRkpJPv8SXdKeW9anFbNsbpEcY05ZbkcToH/RBVA7bJ1rReaxKJjCCaveQD8pN6PeR&#10;llzI+Ty50XJYCCvzYEVMHnGKOD7un8DZgTeBCHeLhx2B4hVzet8YaXC+DaiaRKsXXAee02KlRxt+&#10;AnFzT/Xk9fKrmv0BAAD//wMAUEsDBBQABgAIAAAAIQC4gTYz4QAAAAoBAAAPAAAAZHJzL2Rvd25y&#10;ZXYueG1sTI/RSsMwFIbvBd8hHMEbcUmHtbNrOkQmggiyugfImrOmtUlKk27d23u80stz/o//fKfY&#10;zLZnJxxD652EZCGAoau9bl0jYf/1er8CFqJyWvXeoYQLBtiU11eFyrU/ux2eqtgwKnEhVxJMjEPO&#10;eagNWhUWfkBH2dGPVkUax4brUZ2p3PZ8KcQjt6p1dMGoAV8M1t/VZCXsOvP+uU/S7XbuqrdL93GX&#10;PYhJytub+XkNLOIc/2D41Sd1KMnp4CenA+slpCLJCKVglQAjIM3EE7ADLZZZArws+P8Xyh8AAAD/&#10;/wMAUEsBAi0AFAAGAAgAAAAhALaDOJL+AAAA4QEAABMAAAAAAAAAAAAAAAAAAAAAAFtDb250ZW50&#10;X1R5cGVzXS54bWxQSwECLQAUAAYACAAAACEAOP0h/9YAAACUAQAACwAAAAAAAAAAAAAAAAAvAQAA&#10;X3JlbHMvLnJlbHNQSwECLQAUAAYACAAAACEAnnRLnmUCAADyBAAADgAAAAAAAAAAAAAAAAAuAgAA&#10;ZHJzL2Uyb0RvYy54bWxQSwECLQAUAAYACAAAACEAuIE2M+EAAAAKAQAADwAAAAAAAAAAAAAAAAC/&#10;BAAAZHJzL2Rvd25yZXYueG1sUEsFBgAAAAAEAAQA8wAAAM0FAAAAAA==&#10;" adj="14743" fillcolor="#4f81bd" strokecolor="#385d8a" strokeweight="2pt">
                <v:path arrowok="t"/>
              </v:shape>
            </w:pict>
          </mc:Fallback>
        </mc:AlternateContent>
      </w:r>
    </w:p>
    <w:p w:rsidR="006D73AE" w:rsidRDefault="009E7D36" w:rsidP="006D73AE">
      <w:pPr>
        <w:spacing w:before="120"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245745</wp:posOffset>
                </wp:positionV>
                <wp:extent cx="1819910" cy="914400"/>
                <wp:effectExtent l="0" t="0" r="8890" b="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3AE" w:rsidRPr="005B65AA" w:rsidRDefault="006D73AE" w:rsidP="006D73AE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B65AA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Базова дотація 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="000A1C41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 </w:t>
                            </w:r>
                            <w:r w:rsidR="000A1C41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639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,</w:t>
                            </w:r>
                            <w:r w:rsidR="000A1C41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5B65AA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 тис.грн.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0" style="position:absolute;left:0;text-align:left;margin-left:75.05pt;margin-top:19.35pt;width:143.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aNbwIAAAUFAAAOAAAAZHJzL2Uyb0RvYy54bWysVN9v0zAQfkfif7D8ztJUHWzR0qmsKkKq&#10;tokN7fnq2E2E4zO222T89ZydtCtjT4g8WD7f7+++y9V132q2l843aEqen004k0Zg1Zhtyb8/rj5c&#10;cOYDmAo0GlnyZ+n59fz9u6vOFnKKNepKOkZBjC86W/I6BFtkmRe1bMGfoZWGlApdC4FEt80qBx1F&#10;b3U2nUw+Zh26yjoU0nt6XQ5KPk/xlZIi3CnlZWC65FRbSKdL5yae2fwKiq0DWzdiLAP+oYoWGkNJ&#10;j6GWEIDtXPNXqLYRDj2qcCawzVCpRsjUA3WTT15181CDlakXAsfbI0z+/4UVt/sHe+9i6d6uUfzw&#10;hEjWWV8cNVHwo02vXBttqXDWJxSfjyjKPjBBj/lFfnmZE9iCdJf5bDZJMGdQHLyt8+GLxJbFS8kd&#10;7kz1jUaVEIT92odYBBQHu1Qd6qZaNVonwW03N9qxPdBYZ6uL/PMyTpJc/KmZNqwr+fQ8VsAEEL2U&#10;hkDX1lYl92bLGegt8VYEl3L/4e3fSJKS11DJIfX5hL5D5sH87ypiF0vw9eCSUowu2sR4MtF0bPoF&#10;7HgL/aZnDdU6ix7xZYPV871jDgcmeytWDcVfgw/34Ii61CmtY7ijQ2mk9nG8cVaj+/XWe7QnRpGW&#10;s45WgaD5uQMnOdNfDXEtzZB2Jwmz809TyuFONZtTjdm1N0hjyWnxrUjXaB/04aoctk+0tYuYlVRg&#10;BOUehjAKN2FYUdp7IReLZEb7YiGszYMVMXhELiL72D+BsyOTAnHwFg9rA8UrLg220dPgYhdQNYlo&#10;L7iO1KddS2Mc/wtxmU/lZPXy95r/BgAA//8DAFBLAwQUAAYACAAAACEAQ/RpT9wAAAAKAQAADwAA&#10;AGRycy9kb3ducmV2LnhtbEyPwU7DMBBE70j8g7VI3KjdFJoojVMVUO9QQFzdeJtEjddR7KTh71lO&#10;9LajeZqdKbaz68SEQ2g9aVguFAikytuWag2fH/uHDESIhqzpPKGGHwywLW9vCpNbf6F3nA6xFhxC&#10;ITcamhj7XMpQNehMWPgeib2TH5yJLIda2sFcONx1MlFqLZ1piT80pseXBqvzYXQanKoHlY3f7us5&#10;qWjv36bXdHfS+v5u3m1ARJzjPwx/9bk6lNzp6EeyQXSsn9SSUQ2rLAXBwONqzceRnSxJQZaFvJ5Q&#10;/gIAAP//AwBQSwECLQAUAAYACAAAACEAtoM4kv4AAADhAQAAEwAAAAAAAAAAAAAAAAAAAAAAW0Nv&#10;bnRlbnRfVHlwZXNdLnhtbFBLAQItABQABgAIAAAAIQA4/SH/1gAAAJQBAAALAAAAAAAAAAAAAAAA&#10;AC8BAABfcmVscy8ucmVsc1BLAQItABQABgAIAAAAIQBx1haNbwIAAAUFAAAOAAAAAAAAAAAAAAAA&#10;AC4CAABkcnMvZTJvRG9jLnhtbFBLAQItABQABgAIAAAAIQBD9GlP3AAAAAoBAAAPAAAAAAAAAAAA&#10;AAAAAMkEAABkcnMvZG93bnJldi54bWxQSwUGAAAAAAQABADzAAAA0gUAAAAA&#10;" fillcolor="#4f81bd" strokecolor="#385d8a" strokeweight="2pt">
                <v:path arrowok="t"/>
                <v:textbox>
                  <w:txbxContent>
                    <w:p w:rsidR="006D73AE" w:rsidRPr="005B65AA" w:rsidRDefault="006D73AE" w:rsidP="006D73AE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</w:pPr>
                      <w:r w:rsidRPr="005B65AA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Базова дотація 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en-US"/>
                        </w:rPr>
                        <w:t>3</w:t>
                      </w:r>
                      <w:r w:rsidR="000A1C41">
                        <w:rPr>
                          <w:b/>
                          <w:color w:val="FFFF00"/>
                          <w:sz w:val="28"/>
                          <w:szCs w:val="28"/>
                          <w:lang w:val="en-US"/>
                        </w:rPr>
                        <w:t>4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 </w:t>
                      </w:r>
                      <w:r w:rsidR="000A1C41">
                        <w:rPr>
                          <w:b/>
                          <w:color w:val="FFFF00"/>
                          <w:sz w:val="28"/>
                          <w:szCs w:val="28"/>
                          <w:lang w:val="en-US"/>
                        </w:rPr>
                        <w:t>639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</w:rPr>
                        <w:t>,</w:t>
                      </w:r>
                      <w:r w:rsidR="000A1C41">
                        <w:rPr>
                          <w:b/>
                          <w:color w:val="FFFF00"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B65AA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 тис.грн.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245745</wp:posOffset>
                </wp:positionV>
                <wp:extent cx="1970405" cy="914400"/>
                <wp:effectExtent l="0" t="0" r="0" b="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0405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3AE" w:rsidRPr="00371D79" w:rsidRDefault="006D73AE" w:rsidP="006D73AE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71D79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Субвенції 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                </w:t>
                            </w:r>
                            <w:r w:rsidR="005F6E1E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53015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,</w:t>
                            </w:r>
                            <w:r w:rsidR="005F6E1E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371D79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 тис.грн.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left:0;text-align:left;margin-left:250.3pt;margin-top:19.35pt;width:155.1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2acAIAAAUFAAAOAAAAZHJzL2Uyb0RvYy54bWysVN9v2jAQfp+0/8Hy+0hAsLZRQ8VATJNQ&#10;W62d+nw4Donm+DzbkHR//c5OoKzt07Q8WD7f7+++y/VN1yh2kNbVqHM+HqWcSS2wqPUu5z8e158u&#10;OXMedAEKtcz5s3T8Zv7xw3VrMjnBClUhLaMg2mWtyXnlvcmSxIlKNuBGaKQmZYm2AU+i3SWFhZai&#10;NyqZpOnnpEVbGItCOkevq17J5zF+WUrh78rSSc9Uzqk2H08bz204k/k1ZDsLpqrFUAb8QxUN1JqS&#10;nkKtwAPb2/pNqKYWFh2WfiSwSbAsayFjD9TNOH3VzUMFRsZeCBxnTjC5/xdW3B4ezL0NpTuzQfHT&#10;ESJJa1x20gTBDTZdaZtgS4WzLqL4fEJRdp4JehxfXaTTdMaZIN3VeDpNI8wJZEdvY53/KrFh4ZJz&#10;i3tdfKdRRQThsHE+FAHZ0S5Wh6ou1rVSUbC77VJZdgAa63R9Of6yCpMkF3dupjRrcz6ZhQqYAKJX&#10;qcDTtTFFzp3ecQZqR7wV3sbcf3m7d5LE5BUUsk89S+k7Zu7N31YRuliBq3qXmGJwUTrEk5GmQ9Mv&#10;YIeb77Ydq6nWWfAIL1ssnu8ts9gz2Rmxrin+Bpy/B0vUpU5pHf0dHaVCah+HG2cV2t/vvQd7YhRp&#10;OWtpFQiaX3uwkjP1TRPX4gxpd6IwnV1MKIc912zPNXrfLJHGMqbFNyJeg71Xx2tpsXmirV2ErKQC&#10;LSh3P4RBWPp+RWnvhVwsohntiwG/0Q9GhOABuYDsY/cE1gxM8sTBWzyuDWSvuNTbBk+Ni73Hso5E&#10;e8F1oD7tWhzj8F8Iy3wuR6uXv9f8DwAAAP//AwBQSwMEFAAGAAgAAAAhAAanUd/aAAAACgEAAA8A&#10;AABkcnMvZG93bnJldi54bWxMj8FOwzAMQO9I/ENkJG4sWRE0lKbTAO0OA8Q1a7y2onGqJu3K32NO&#10;7Gj56fm53Cy+FzOOsQtkYL1SIJDq4DpqDHy87240iJgsOdsHQgM/GGFTXV6UtnDhRG8471MjWEKx&#10;sAbalIZCyli36G1chQGJd8cwept4HBvpRntiue9lptS99LYjvtDaAZ9brL/3kzfgVTMqPX35z6es&#10;pl14nV/y7dGY66tl+wgi4ZL+YfjL53SouOkQJnJR9Abu2M6ogVudg2BAr9UDiAOTOstBVqU8f6H6&#10;BQAA//8DAFBLAQItABQABgAIAAAAIQC2gziS/gAAAOEBAAATAAAAAAAAAAAAAAAAAAAAAABbQ29u&#10;dGVudF9UeXBlc10ueG1sUEsBAi0AFAAGAAgAAAAhADj9If/WAAAAlAEAAAsAAAAAAAAAAAAAAAAA&#10;LwEAAF9yZWxzLy5yZWxzUEsBAi0AFAAGAAgAAAAhACrDvZpwAgAABQUAAA4AAAAAAAAAAAAAAAAA&#10;LgIAAGRycy9lMm9Eb2MueG1sUEsBAi0AFAAGAAgAAAAhAAanUd/aAAAACgEAAA8AAAAAAAAAAAAA&#10;AAAAygQAAGRycy9kb3ducmV2LnhtbFBLBQYAAAAABAAEAPMAAADRBQAAAAA=&#10;" fillcolor="#4f81bd" strokecolor="#385d8a" strokeweight="2pt">
                <v:path arrowok="t"/>
                <v:textbox>
                  <w:txbxContent>
                    <w:p w:rsidR="006D73AE" w:rsidRPr="00371D79" w:rsidRDefault="006D73AE" w:rsidP="006D73AE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</w:pPr>
                      <w:r w:rsidRPr="00371D79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Субвенції 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                </w:t>
                      </w:r>
                      <w:r w:rsidR="005F6E1E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53015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,</w:t>
                      </w:r>
                      <w:r w:rsidR="005F6E1E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3</w:t>
                      </w:r>
                      <w:r w:rsidRPr="00371D79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 тис.грн.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28AC" w:rsidRDefault="008E28AC" w:rsidP="006D73AE">
      <w:pPr>
        <w:spacing w:before="120" w:after="120"/>
        <w:ind w:firstLine="709"/>
        <w:jc w:val="both"/>
        <w:rPr>
          <w:b/>
          <w:sz w:val="28"/>
          <w:szCs w:val="28"/>
          <w:lang w:val="uk-UA"/>
        </w:rPr>
      </w:pPr>
    </w:p>
    <w:p w:rsidR="006D73AE" w:rsidRDefault="006D73AE" w:rsidP="006D73A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6D73AE" w:rsidRDefault="006D73AE" w:rsidP="006D73A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6D73AE" w:rsidRDefault="006D73AE" w:rsidP="006D73A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6D73AE" w:rsidRDefault="006D73AE" w:rsidP="006D73A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1117BE" w:rsidRPr="00FB4DF4" w:rsidRDefault="001117BE" w:rsidP="006D73A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B4DF4">
        <w:rPr>
          <w:sz w:val="28"/>
          <w:szCs w:val="28"/>
          <w:lang w:val="uk-UA"/>
        </w:rPr>
        <w:t>Горизонтальне вирівнювання податкоспроможності місцевих бюджетів на 202</w:t>
      </w:r>
      <w:r>
        <w:rPr>
          <w:sz w:val="28"/>
          <w:szCs w:val="28"/>
          <w:lang w:val="uk-UA"/>
        </w:rPr>
        <w:t>3</w:t>
      </w:r>
      <w:r w:rsidRPr="00FB4DF4">
        <w:rPr>
          <w:sz w:val="28"/>
          <w:szCs w:val="28"/>
          <w:lang w:val="uk-UA"/>
        </w:rPr>
        <w:t xml:space="preserve"> рік здійснено</w:t>
      </w:r>
      <w:r>
        <w:rPr>
          <w:sz w:val="28"/>
          <w:szCs w:val="28"/>
          <w:lang w:val="uk-UA"/>
        </w:rPr>
        <w:t xml:space="preserve"> на основі очікуваних надходжень у 2022 році податку на доходи фізичних осіб, без урахування податку на доходи фізичних осіб з грошового забезпечення, грошових нагород та інших виплат, одержаних військовослужбовцями й особами рядового і начальницького складу.</w:t>
      </w:r>
    </w:p>
    <w:p w:rsidR="001117BE" w:rsidRPr="00670D6D" w:rsidRDefault="001117BE" w:rsidP="001117BE">
      <w:pPr>
        <w:ind w:firstLine="709"/>
        <w:jc w:val="both"/>
        <w:rPr>
          <w:bCs/>
          <w:sz w:val="28"/>
          <w:szCs w:val="28"/>
          <w:lang w:val="uk-UA"/>
        </w:rPr>
      </w:pPr>
      <w:r w:rsidRPr="00670D6D">
        <w:rPr>
          <w:b/>
          <w:i/>
          <w:sz w:val="28"/>
          <w:szCs w:val="28"/>
          <w:lang w:val="uk-UA"/>
        </w:rPr>
        <w:t>Доходи загального фонду</w:t>
      </w:r>
      <w:r w:rsidRPr="00670D6D">
        <w:rPr>
          <w:b/>
          <w:iCs/>
          <w:sz w:val="28"/>
          <w:szCs w:val="28"/>
          <w:lang w:val="uk-UA"/>
        </w:rPr>
        <w:t xml:space="preserve"> </w:t>
      </w:r>
      <w:r w:rsidRPr="00670D6D">
        <w:rPr>
          <w:b/>
          <w:i/>
          <w:sz w:val="28"/>
          <w:szCs w:val="28"/>
          <w:lang w:val="uk-UA"/>
        </w:rPr>
        <w:t>бюджету</w:t>
      </w:r>
      <w:r w:rsidRPr="00670D6D">
        <w:rPr>
          <w:bCs/>
          <w:i/>
          <w:sz w:val="28"/>
          <w:szCs w:val="28"/>
          <w:lang w:val="uk-UA"/>
        </w:rPr>
        <w:t xml:space="preserve"> </w:t>
      </w:r>
      <w:r w:rsidRPr="00670D6D">
        <w:rPr>
          <w:b/>
          <w:iCs/>
          <w:sz w:val="28"/>
          <w:szCs w:val="28"/>
          <w:lang w:val="uk-UA"/>
        </w:rPr>
        <w:t>(без трансфертів)</w:t>
      </w:r>
      <w:r w:rsidRPr="00670D6D">
        <w:rPr>
          <w:bCs/>
          <w:i/>
          <w:sz w:val="28"/>
          <w:szCs w:val="28"/>
          <w:lang w:val="uk-UA"/>
        </w:rPr>
        <w:t xml:space="preserve"> </w:t>
      </w:r>
      <w:r w:rsidRPr="00670D6D">
        <w:rPr>
          <w:bCs/>
          <w:sz w:val="28"/>
          <w:szCs w:val="28"/>
          <w:lang w:val="uk-UA"/>
        </w:rPr>
        <w:t xml:space="preserve">прогнозуються у сумі </w:t>
      </w:r>
      <w:r w:rsidRPr="001F5803">
        <w:rPr>
          <w:b/>
          <w:bCs/>
          <w:sz w:val="28"/>
          <w:szCs w:val="28"/>
          <w:lang w:val="uk-UA"/>
        </w:rPr>
        <w:t>100</w:t>
      </w:r>
      <w:r>
        <w:rPr>
          <w:b/>
          <w:bCs/>
          <w:sz w:val="28"/>
          <w:szCs w:val="28"/>
          <w:lang w:val="uk-UA"/>
        </w:rPr>
        <w:t> </w:t>
      </w:r>
      <w:r w:rsidRPr="001F5803">
        <w:rPr>
          <w:b/>
          <w:bCs/>
          <w:sz w:val="28"/>
          <w:szCs w:val="28"/>
          <w:lang w:val="uk-UA"/>
        </w:rPr>
        <w:t>286,5</w:t>
      </w:r>
      <w:r>
        <w:rPr>
          <w:bCs/>
          <w:sz w:val="28"/>
          <w:szCs w:val="28"/>
          <w:lang w:val="uk-UA"/>
        </w:rPr>
        <w:t xml:space="preserve"> </w:t>
      </w:r>
      <w:r w:rsidRPr="00670D6D">
        <w:rPr>
          <w:bCs/>
          <w:sz w:val="28"/>
          <w:szCs w:val="28"/>
          <w:lang w:val="uk-UA"/>
        </w:rPr>
        <w:t xml:space="preserve">тис. </w:t>
      </w:r>
      <w:r>
        <w:rPr>
          <w:bCs/>
          <w:sz w:val="28"/>
          <w:szCs w:val="28"/>
          <w:lang w:val="uk-UA"/>
        </w:rPr>
        <w:t>грн.</w:t>
      </w:r>
      <w:r w:rsidRPr="00670D6D">
        <w:rPr>
          <w:bCs/>
          <w:sz w:val="28"/>
          <w:szCs w:val="28"/>
          <w:lang w:val="uk-UA"/>
        </w:rPr>
        <w:t xml:space="preserve"> </w:t>
      </w:r>
    </w:p>
    <w:p w:rsidR="001117BE" w:rsidRDefault="001117BE" w:rsidP="001117BE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7D7301">
        <w:rPr>
          <w:bCs/>
          <w:iCs/>
          <w:sz w:val="28"/>
          <w:szCs w:val="28"/>
          <w:lang w:val="uk-UA"/>
        </w:rPr>
        <w:t>Прогнозні</w:t>
      </w:r>
      <w:r w:rsidRPr="00FE110A">
        <w:rPr>
          <w:bCs/>
          <w:iCs/>
          <w:sz w:val="28"/>
          <w:szCs w:val="28"/>
        </w:rPr>
        <w:t xml:space="preserve"> </w:t>
      </w:r>
      <w:r w:rsidRPr="007D7301">
        <w:rPr>
          <w:bCs/>
          <w:iCs/>
          <w:sz w:val="28"/>
          <w:szCs w:val="28"/>
          <w:lang w:val="uk-UA"/>
        </w:rPr>
        <w:t>показники</w:t>
      </w:r>
      <w:r w:rsidRPr="00FE110A">
        <w:rPr>
          <w:iCs/>
          <w:sz w:val="28"/>
          <w:szCs w:val="28"/>
        </w:rPr>
        <w:t xml:space="preserve"> </w:t>
      </w:r>
      <w:r w:rsidRPr="007D7301">
        <w:rPr>
          <w:iCs/>
          <w:sz w:val="28"/>
          <w:szCs w:val="28"/>
          <w:lang w:val="uk-UA"/>
        </w:rPr>
        <w:t>доходів</w:t>
      </w:r>
      <w:r w:rsidRPr="00FE110A">
        <w:rPr>
          <w:iCs/>
          <w:sz w:val="28"/>
          <w:szCs w:val="28"/>
        </w:rPr>
        <w:t xml:space="preserve"> </w:t>
      </w:r>
      <w:r w:rsidRPr="007D7301">
        <w:rPr>
          <w:bCs/>
          <w:iCs/>
          <w:sz w:val="28"/>
          <w:szCs w:val="28"/>
          <w:lang w:val="uk-UA"/>
        </w:rPr>
        <w:t>міс</w:t>
      </w:r>
      <w:r>
        <w:rPr>
          <w:bCs/>
          <w:iCs/>
          <w:sz w:val="28"/>
          <w:szCs w:val="28"/>
          <w:lang w:val="uk-UA"/>
        </w:rPr>
        <w:t xml:space="preserve">ького </w:t>
      </w:r>
      <w:r w:rsidRPr="007D7301">
        <w:rPr>
          <w:bCs/>
          <w:iCs/>
          <w:sz w:val="28"/>
          <w:szCs w:val="28"/>
          <w:lang w:val="uk-UA"/>
        </w:rPr>
        <w:t>бюджет</w:t>
      </w:r>
      <w:r>
        <w:rPr>
          <w:bCs/>
          <w:iCs/>
          <w:sz w:val="28"/>
          <w:szCs w:val="28"/>
          <w:lang w:val="uk-UA"/>
        </w:rPr>
        <w:t>у</w:t>
      </w:r>
      <w:r w:rsidRPr="00FE110A">
        <w:rPr>
          <w:bCs/>
          <w:iCs/>
          <w:sz w:val="28"/>
          <w:szCs w:val="28"/>
        </w:rPr>
        <w:t xml:space="preserve"> </w:t>
      </w:r>
      <w:r w:rsidRPr="00FE110A">
        <w:rPr>
          <w:iCs/>
          <w:sz w:val="28"/>
          <w:szCs w:val="28"/>
        </w:rPr>
        <w:t xml:space="preserve">на </w:t>
      </w:r>
      <w:r w:rsidRPr="00FE110A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  <w:lang w:val="uk-UA"/>
        </w:rPr>
        <w:t>3</w:t>
      </w:r>
      <w:r w:rsidRPr="00FE110A">
        <w:rPr>
          <w:bCs/>
          <w:iCs/>
          <w:sz w:val="28"/>
          <w:szCs w:val="28"/>
        </w:rPr>
        <w:t xml:space="preserve"> </w:t>
      </w:r>
      <w:r w:rsidRPr="007D7301">
        <w:rPr>
          <w:bCs/>
          <w:iCs/>
          <w:sz w:val="28"/>
          <w:szCs w:val="28"/>
          <w:lang w:val="uk-UA"/>
        </w:rPr>
        <w:t>рік</w:t>
      </w:r>
      <w:r w:rsidRPr="00FE110A">
        <w:rPr>
          <w:iCs/>
          <w:sz w:val="28"/>
          <w:szCs w:val="28"/>
        </w:rPr>
        <w:t xml:space="preserve">, у </w:t>
      </w:r>
      <w:r w:rsidRPr="007D7301">
        <w:rPr>
          <w:iCs/>
          <w:sz w:val="28"/>
          <w:szCs w:val="28"/>
          <w:lang w:val="uk-UA"/>
        </w:rPr>
        <w:t>порівнянні</w:t>
      </w:r>
      <w:r w:rsidRPr="00FE110A">
        <w:rPr>
          <w:iCs/>
          <w:sz w:val="28"/>
          <w:szCs w:val="28"/>
        </w:rPr>
        <w:t xml:space="preserve"> </w:t>
      </w:r>
      <w:r w:rsidRPr="007D7301">
        <w:rPr>
          <w:iCs/>
          <w:sz w:val="28"/>
          <w:szCs w:val="28"/>
          <w:lang w:val="uk-UA"/>
        </w:rPr>
        <w:t>із</w:t>
      </w:r>
      <w:r w:rsidRPr="00FE110A">
        <w:rPr>
          <w:iCs/>
          <w:sz w:val="28"/>
          <w:szCs w:val="28"/>
        </w:rPr>
        <w:t xml:space="preserve"> </w:t>
      </w:r>
      <w:r w:rsidRPr="007D7301">
        <w:rPr>
          <w:iCs/>
          <w:sz w:val="28"/>
          <w:szCs w:val="28"/>
          <w:lang w:val="uk-UA"/>
        </w:rPr>
        <w:t>очікуваними</w:t>
      </w:r>
      <w:r>
        <w:rPr>
          <w:iCs/>
          <w:sz w:val="28"/>
          <w:szCs w:val="28"/>
          <w:lang w:val="uk-UA"/>
        </w:rPr>
        <w:t xml:space="preserve"> показниками</w:t>
      </w:r>
      <w:r w:rsidRPr="00FE110A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  <w:lang w:val="uk-UA"/>
        </w:rPr>
        <w:t>22</w:t>
      </w:r>
      <w:r w:rsidRPr="00FE110A">
        <w:rPr>
          <w:iCs/>
          <w:sz w:val="28"/>
          <w:szCs w:val="28"/>
        </w:rPr>
        <w:t xml:space="preserve"> р</w:t>
      </w:r>
      <w:r>
        <w:rPr>
          <w:iCs/>
          <w:sz w:val="28"/>
          <w:szCs w:val="28"/>
          <w:lang w:val="uk-UA"/>
        </w:rPr>
        <w:t>оку</w:t>
      </w:r>
      <w:r w:rsidRPr="00FE110A">
        <w:rPr>
          <w:iCs/>
          <w:sz w:val="28"/>
          <w:szCs w:val="28"/>
        </w:rPr>
        <w:t>,</w:t>
      </w:r>
      <w:r>
        <w:rPr>
          <w:iCs/>
          <w:sz w:val="28"/>
          <w:szCs w:val="28"/>
          <w:lang w:val="uk-UA"/>
        </w:rPr>
        <w:t xml:space="preserve"> більші</w:t>
      </w:r>
      <w:r>
        <w:rPr>
          <w:bCs/>
          <w:iCs/>
          <w:sz w:val="28"/>
          <w:szCs w:val="28"/>
          <w:lang w:val="uk-UA"/>
        </w:rPr>
        <w:t xml:space="preserve"> на 4 634,4</w:t>
      </w:r>
      <w:r>
        <w:rPr>
          <w:iCs/>
          <w:sz w:val="28"/>
          <w:szCs w:val="28"/>
        </w:rPr>
        <w:t xml:space="preserve"> тис</w:t>
      </w:r>
      <w:r>
        <w:rPr>
          <w:bCs/>
          <w:iCs/>
          <w:sz w:val="28"/>
          <w:szCs w:val="28"/>
        </w:rPr>
        <w:t> .</w:t>
      </w:r>
      <w:r w:rsidRPr="00FE110A">
        <w:rPr>
          <w:bCs/>
          <w:iCs/>
          <w:sz w:val="28"/>
          <w:szCs w:val="28"/>
        </w:rPr>
        <w:t>грн.</w:t>
      </w:r>
      <w:r>
        <w:rPr>
          <w:bCs/>
          <w:iCs/>
          <w:sz w:val="28"/>
          <w:szCs w:val="28"/>
          <w:lang w:val="uk-UA"/>
        </w:rPr>
        <w:t>,</w:t>
      </w:r>
      <w:r w:rsidRPr="00FE110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та складають</w:t>
      </w:r>
      <w:r w:rsidRPr="00FE11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104,8</w:t>
      </w:r>
      <w:r w:rsidRPr="00FE110A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  <w:lang w:val="uk-UA"/>
        </w:rPr>
        <w:t xml:space="preserve">, від показників 2021 року </w:t>
      </w:r>
      <w:r w:rsidRPr="000C67A3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  <w:lang w:val="uk-UA"/>
        </w:rPr>
        <w:t xml:space="preserve">менші </w:t>
      </w:r>
      <w:r w:rsidRPr="00FE110A">
        <w:rPr>
          <w:bCs/>
          <w:iCs/>
          <w:sz w:val="28"/>
          <w:szCs w:val="28"/>
        </w:rPr>
        <w:t xml:space="preserve">на </w:t>
      </w:r>
      <w:r>
        <w:rPr>
          <w:bCs/>
          <w:iCs/>
          <w:sz w:val="28"/>
          <w:szCs w:val="28"/>
          <w:lang w:val="uk-UA"/>
        </w:rPr>
        <w:t>1896,7 тис</w:t>
      </w:r>
      <w:r>
        <w:rPr>
          <w:bCs/>
          <w:iCs/>
          <w:sz w:val="28"/>
          <w:szCs w:val="28"/>
        </w:rPr>
        <w:t>.</w:t>
      </w:r>
      <w:r w:rsidRPr="00FE110A">
        <w:rPr>
          <w:bCs/>
          <w:iCs/>
          <w:sz w:val="28"/>
          <w:szCs w:val="28"/>
        </w:rPr>
        <w:t xml:space="preserve">грн. </w:t>
      </w:r>
      <w:r w:rsidRPr="007D7301">
        <w:rPr>
          <w:bCs/>
          <w:iCs/>
          <w:sz w:val="28"/>
          <w:szCs w:val="28"/>
          <w:lang w:val="uk-UA"/>
        </w:rPr>
        <w:t>або</w:t>
      </w:r>
      <w:r w:rsidRPr="000C67A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становлять</w:t>
      </w:r>
      <w:r w:rsidRPr="00FE110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98,1</w:t>
      </w:r>
      <w:r w:rsidRPr="00FE110A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  <w:lang w:val="uk-UA"/>
        </w:rPr>
        <w:t>.</w:t>
      </w:r>
      <w:r w:rsidRPr="00FE110A">
        <w:rPr>
          <w:bCs/>
          <w:iCs/>
          <w:sz w:val="28"/>
          <w:szCs w:val="28"/>
          <w:lang w:val="uk-UA"/>
        </w:rPr>
        <w:t xml:space="preserve"> </w:t>
      </w:r>
    </w:p>
    <w:p w:rsidR="008E28AC" w:rsidRDefault="008E28AC" w:rsidP="001117BE">
      <w:pPr>
        <w:ind w:firstLine="709"/>
        <w:jc w:val="both"/>
        <w:rPr>
          <w:bCs/>
          <w:iCs/>
          <w:sz w:val="28"/>
          <w:szCs w:val="28"/>
          <w:lang w:val="en-US"/>
        </w:rPr>
      </w:pPr>
    </w:p>
    <w:p w:rsidR="001117BE" w:rsidRPr="002D685D" w:rsidRDefault="001117BE" w:rsidP="001117BE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2D685D">
        <w:rPr>
          <w:rFonts w:ascii="Calibri" w:eastAsia="Calibri" w:hAnsi="Calibri"/>
          <w:b/>
          <w:sz w:val="32"/>
          <w:szCs w:val="32"/>
          <w:lang w:val="uk-UA" w:eastAsia="en-US"/>
        </w:rPr>
        <w:t>Динаміка доходів</w:t>
      </w:r>
      <w:r>
        <w:rPr>
          <w:rFonts w:ascii="Calibri" w:eastAsia="Calibri" w:hAnsi="Calibri"/>
          <w:b/>
          <w:sz w:val="32"/>
          <w:szCs w:val="32"/>
          <w:lang w:val="uk-UA" w:eastAsia="en-US"/>
        </w:rPr>
        <w:t xml:space="preserve"> загального фонду бюджету</w:t>
      </w:r>
      <w:r w:rsidRPr="002D685D">
        <w:rPr>
          <w:rFonts w:ascii="Calibri" w:eastAsia="Calibri" w:hAnsi="Calibri"/>
          <w:b/>
          <w:sz w:val="32"/>
          <w:szCs w:val="32"/>
          <w:lang w:val="uk-UA" w:eastAsia="en-US"/>
        </w:rPr>
        <w:t xml:space="preserve"> за 20</w:t>
      </w:r>
      <w:r>
        <w:rPr>
          <w:rFonts w:ascii="Calibri" w:eastAsia="Calibri" w:hAnsi="Calibri"/>
          <w:b/>
          <w:sz w:val="32"/>
          <w:szCs w:val="32"/>
          <w:lang w:val="uk-UA" w:eastAsia="en-US"/>
        </w:rPr>
        <w:t>2</w:t>
      </w:r>
      <w:r w:rsidRPr="00536E07">
        <w:rPr>
          <w:rFonts w:ascii="Calibri" w:eastAsia="Calibri" w:hAnsi="Calibri"/>
          <w:b/>
          <w:sz w:val="32"/>
          <w:szCs w:val="32"/>
          <w:lang w:eastAsia="en-US"/>
        </w:rPr>
        <w:t>1</w:t>
      </w:r>
      <w:r w:rsidRPr="002D685D">
        <w:rPr>
          <w:rFonts w:ascii="Calibri" w:eastAsia="Calibri" w:hAnsi="Calibri"/>
          <w:b/>
          <w:sz w:val="32"/>
          <w:szCs w:val="32"/>
          <w:lang w:val="uk-UA" w:eastAsia="en-US"/>
        </w:rPr>
        <w:t xml:space="preserve"> – 202</w:t>
      </w:r>
      <w:r w:rsidRPr="00536E07">
        <w:rPr>
          <w:rFonts w:ascii="Calibri" w:eastAsia="Calibri" w:hAnsi="Calibri"/>
          <w:b/>
          <w:sz w:val="32"/>
          <w:szCs w:val="32"/>
          <w:lang w:eastAsia="en-US"/>
        </w:rPr>
        <w:t>3</w:t>
      </w:r>
      <w:r w:rsidRPr="002D685D">
        <w:rPr>
          <w:rFonts w:ascii="Calibri" w:eastAsia="Calibri" w:hAnsi="Calibri"/>
          <w:b/>
          <w:sz w:val="32"/>
          <w:szCs w:val="32"/>
          <w:lang w:val="uk-UA" w:eastAsia="en-US"/>
        </w:rPr>
        <w:t xml:space="preserve"> роки</w:t>
      </w:r>
    </w:p>
    <w:p w:rsidR="008E28AC" w:rsidRPr="00FF261C" w:rsidRDefault="008E28AC" w:rsidP="008E28AC">
      <w:pPr>
        <w:spacing w:after="200" w:line="276" w:lineRule="auto"/>
        <w:ind w:firstLine="708"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202</w:t>
      </w:r>
      <w:r w:rsidRPr="00FF261C">
        <w:rPr>
          <w:rFonts w:ascii="Calibri" w:eastAsia="Calibri" w:hAnsi="Calibri"/>
          <w:b/>
          <w:sz w:val="28"/>
          <w:szCs w:val="28"/>
          <w:lang w:val="uk-UA" w:eastAsia="en-US"/>
        </w:rPr>
        <w:t>1</w:t>
      </w:r>
      <w:r w:rsidRPr="002D685D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рік                     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</w:t>
      </w:r>
      <w:r w:rsidRPr="002D685D">
        <w:rPr>
          <w:rFonts w:ascii="Calibri" w:eastAsia="Calibri" w:hAnsi="Calibri"/>
          <w:b/>
          <w:sz w:val="28"/>
          <w:szCs w:val="28"/>
          <w:lang w:val="uk-UA" w:eastAsia="en-US"/>
        </w:rPr>
        <w:t>очікувані 20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2</w:t>
      </w:r>
      <w:r w:rsidRPr="00FF261C">
        <w:rPr>
          <w:rFonts w:ascii="Calibri" w:eastAsia="Calibri" w:hAnsi="Calibri"/>
          <w:b/>
          <w:sz w:val="28"/>
          <w:szCs w:val="28"/>
          <w:lang w:val="uk-UA" w:eastAsia="en-US"/>
        </w:rPr>
        <w:t>2</w:t>
      </w:r>
      <w:r w:rsidRPr="002D685D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рік              прогноз 202</w:t>
      </w:r>
      <w:r w:rsidRPr="00FF261C">
        <w:rPr>
          <w:rFonts w:ascii="Calibri" w:eastAsia="Calibri" w:hAnsi="Calibri"/>
          <w:b/>
          <w:sz w:val="28"/>
          <w:szCs w:val="28"/>
          <w:lang w:val="uk-UA" w:eastAsia="en-US"/>
        </w:rPr>
        <w:t>3</w:t>
      </w:r>
      <w:r w:rsidRPr="002D685D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рік</w:t>
      </w:r>
    </w:p>
    <w:p w:rsidR="008C7804" w:rsidRDefault="009E7D36" w:rsidP="001117BE">
      <w:pPr>
        <w:spacing w:after="200" w:line="276" w:lineRule="auto"/>
        <w:rPr>
          <w:rFonts w:ascii="Calibri" w:eastAsia="Calibri" w:hAnsi="Calibri"/>
          <w:sz w:val="28"/>
          <w:szCs w:val="28"/>
          <w:u w:val="single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128905</wp:posOffset>
                </wp:positionV>
                <wp:extent cx="2028825" cy="532130"/>
                <wp:effectExtent l="0" t="19050" r="28575" b="20320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53213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17BE" w:rsidRPr="007D7301" w:rsidRDefault="001117BE" w:rsidP="001117B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  <w:lang w:val="uk-UA"/>
                              </w:rPr>
                              <w:t>-1,9 тис</w:t>
                            </w:r>
                            <w:r w:rsidRPr="00220C8E">
                              <w:rPr>
                                <w:b/>
                                <w:highlight w:val="yellow"/>
                                <w:lang w:val="uk-UA"/>
                              </w:rPr>
                              <w:t xml:space="preserve">.грн. </w:t>
                            </w:r>
                            <w:r>
                              <w:rPr>
                                <w:b/>
                                <w:highlight w:val="darkYellow"/>
                                <w:lang w:val="uk-UA"/>
                              </w:rPr>
                              <w:t>ммлн</w:t>
                            </w:r>
                            <w:r w:rsidRPr="007D7301">
                              <w:rPr>
                                <w:b/>
                                <w:highlight w:val="darkYellow"/>
                                <w:lang w:val="uk-UA"/>
                              </w:rPr>
                              <w:t>млн.грн.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32" type="#_x0000_t13" style="position:absolute;margin-left:79.2pt;margin-top:10.15pt;width:159.75pt;height:4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jRcgIAAAYFAAAOAAAAZHJzL2Uyb0RvYy54bWysVEtv2zAMvg/YfxB0X524SZcZdYqsQYYB&#10;QRugHXpmZPmByZJGKXG6Xz9KdtKs7WmYD4Iovj9+9PXNoVVsL9E1Rud8fDHiTGphikZXOf/xuPo0&#10;48x50AUoo2XOn6XjN/OPH647m8nU1EYVEhkF0S7rbM5r722WJE7UsgV3YazUpCwNtuBJxCopEDqK&#10;3qokHY2uks5gYdEI6Ry9Lnsln8f4ZSmFvy9LJz1TOafafDwxnttwJvNryCoEWzdiKAP+oYoWGk1J&#10;T6GW4IHtsHkTqm0EGmdKfyFMm5iybISMPVA349Grbh5qsDL2QuA4e4LJ/b+w4m7/YDcYSnd2bcRP&#10;R4gknXXZSRMEN9gcSmyDLRXODhHF5xOK8uCZoMd0lM5m6ZQzQbrpZTq+jDAnkB29LTr/TZqWhUvO&#10;salqv0A0XYQQ9mvnQxWQHQ1jeUY1xapRKgpYbW8Vsj3QXCer2fjrMoySXNy5mdKso4KmkxHNXgDx&#10;q1Tg6draIudOV5yBqoi4wmPM/Ze3eydJTF5DIfvU0xF9x8y9+dsqQhdLcHXvElMMLkqHeDLydGj6&#10;Be1w84ftgTVU61XwCC9bUzxvkKHpqeysWDUUfw3ObwCJu9Qp7aO/p6NUhto3w42z2uDv996DPVGK&#10;tJx1tAsEza8doORMfddEti/jySQsTxQm088pCXiu2Z5r9K69NTSWMW2+FfEa7L06Xks07ROt7SJk&#10;JRVoQbn7IQzCre93lBZfyMUimtHCWPBr/WBFCB6QC8g+Hp4A7UAlTyS8M8e9gewVl3rb4KnNYudN&#10;2USiveA6cJ+WLY5x+DGEbT6Xo9XL72v+BwAA//8DAFBLAwQUAAYACAAAACEAoGlzwN8AAAAKAQAA&#10;DwAAAGRycy9kb3ducmV2LnhtbEyP0UrDQBBF3wX/YRnBN7ubGtsasylaEFsQxOgHbJJpEtydDdlt&#10;G/16p0/6eLmHO2fy9eSsOOIYek8akpkCgVT7pqdWw+fH880KRIiGGmM9oYZvDLAuLi9ykzX+RO94&#10;LGMreIRCZjR0MQ6ZlKHu0Jkw8wMSd3s/OhM5jq1sRnPicWflXKmFdKYnvtCZATcd1l/lwWnYTy+b&#10;hSN63W1/qrZ8stvkbee1vr6aHh9ARJziHwxnfVaHgp0qf6AmCMv5bpUyqmGubkEwkC6X9yAqblSa&#10;gCxy+f+F4hcAAP//AwBQSwECLQAUAAYACAAAACEAtoM4kv4AAADhAQAAEwAAAAAAAAAAAAAAAAAA&#10;AAAAW0NvbnRlbnRfVHlwZXNdLnhtbFBLAQItABQABgAIAAAAIQA4/SH/1gAAAJQBAAALAAAAAAAA&#10;AAAAAAAAAC8BAABfcmVscy8ucmVsc1BLAQItABQABgAIAAAAIQB1UJjRcgIAAAYFAAAOAAAAAAAA&#10;AAAAAAAAAC4CAABkcnMvZTJvRG9jLnhtbFBLAQItABQABgAIAAAAIQCgaXPA3wAAAAoBAAAPAAAA&#10;AAAAAAAAAAAAAMwEAABkcnMvZG93bnJldi54bWxQSwUGAAAAAAQABADzAAAA2AUAAAAA&#10;" adj="18767" fillcolor="#4f81bd" strokecolor="#385d8a" strokeweight="2pt">
                <v:path arrowok="t"/>
                <v:textbox>
                  <w:txbxContent>
                    <w:p w:rsidR="001117BE" w:rsidRPr="007D7301" w:rsidRDefault="001117BE" w:rsidP="001117B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highlight w:val="yellow"/>
                          <w:lang w:val="uk-UA"/>
                        </w:rPr>
                        <w:t>-1,9 тис</w:t>
                      </w:r>
                      <w:r w:rsidRPr="00220C8E">
                        <w:rPr>
                          <w:b/>
                          <w:highlight w:val="yellow"/>
                          <w:lang w:val="uk-UA"/>
                        </w:rPr>
                        <w:t xml:space="preserve">.грн. </w:t>
                      </w:r>
                      <w:r>
                        <w:rPr>
                          <w:b/>
                          <w:highlight w:val="darkYellow"/>
                          <w:lang w:val="uk-UA"/>
                        </w:rPr>
                        <w:t>ммлн</w:t>
                      </w:r>
                      <w:r w:rsidRPr="007D7301">
                        <w:rPr>
                          <w:b/>
                          <w:highlight w:val="darkYellow"/>
                          <w:lang w:val="uk-UA"/>
                        </w:rPr>
                        <w:t>млн.грн.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80010</wp:posOffset>
                </wp:positionV>
                <wp:extent cx="1827530" cy="581025"/>
                <wp:effectExtent l="0" t="19050" r="20320" b="28575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7530" cy="5810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17BE" w:rsidRPr="007D7301" w:rsidRDefault="001117BE" w:rsidP="001117B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  <w:lang w:val="uk-UA"/>
                              </w:rPr>
                              <w:t>+4,6</w:t>
                            </w:r>
                            <w:r w:rsidRPr="00220C8E">
                              <w:rPr>
                                <w:b/>
                                <w:highlight w:val="yellow"/>
                                <w:lang w:val="uk-UA"/>
                              </w:rPr>
                              <w:t xml:space="preserve"> млн.грн.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33" type="#_x0000_t13" style="position:absolute;margin-left:271.3pt;margin-top:6.3pt;width:143.9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5bcQIAAAYFAAAOAAAAZHJzL2Uyb0RvYy54bWysVEtv2zAMvg/YfxB0X21nyZoFdYqsQYYB&#10;wVqgHXpWZPmByaJGKbG7Xz9KdtK062mYDwIpvj999NV132p2UOgaMDnPLlLOlJFQNKbK+Y+HzYc5&#10;Z84LUwgNRuX8STl+vXz/7qqzCzWBGnShkFES4xadzXntvV0kiZO1aoW7AKsMGUvAVnhSsUoKFB1l&#10;b3UySdNPSQdYWASpnKPb9WDky5i/LJX0t2XplGc659SbjyfGcxfOZHklFhUKWzdybEP8QxetaAwV&#10;PaVaCy/YHpu/UrWNRHBQ+gsJbQJl2UgVZ6BpsvTVNPe1sCrOQuA4e4LJ/b+08vvh3t5haN3ZLcif&#10;jhBJOusWJ0tQ3OjTl9gGX2qc9RHFpxOKqvdM0mU2n1zOPhLYkmyzeZZOZgHmRCyO0Rad/6qgZUHI&#10;OTZV7VeI0EUIxWHr/BBwdIztgW6KTaN1VLDa3WhkB0HvOt3Msy/rsYY7d9OGdTmfzKZpaEcQv0ot&#10;PImtLXLuTMWZ0BURV3qMtV9EuzeKxOK1KNRQepbSd6w8uMdJX+QJU6yFq4eQaBpDtAn5VOTpOPQz&#10;2kHy/a5nDfV6GSLCzQ6KpztkCAOVnZWbhvJvhfN3Aom7NCnto7+lo9RA48MocVYD/n7rPvgTpcjK&#10;WUe7QND82gtUnOlvhsj2OZtOw/JEZTq7nJCC55bducXs2xugZ8lo862MYvD3+iiWCO0jre0qVCWT&#10;MJJqD48wKjd+2FFafKlWq+hGC2OF35p7K0PygFxA9qF/FGhHKnki4Xc47o1YvOLS4BsiDaz2Hsom&#10;Eu0Z15H7tGzxGccfQ9jmcz16Pf++ln8AAAD//wMAUEsDBBQABgAIAAAAIQA/d1Up3wAAAAoBAAAP&#10;AAAAZHJzL2Rvd25yZXYueG1sTI9PS8QwEMXvgt8hjODNTVrrstSmy7KgInhxFb1mm7EtNpPSpH/0&#10;0zt7ck/DzHu8+b1iu7hOTDiE1pOGZKVAIFXetlRreH97uNmACNGQNZ0n1PCDAbbl5UVhcutnesXp&#10;EGvBIRRyo6GJsc+lDFWDzoSV75FY+/KDM5HXoZZ2MDOHu06mSq2lMy3xh8b0uG+w+j6MTsNnmn7M&#10;LzZJ/OPz77if5vpptDutr6+W3T2IiEv8N8MJn9GhZKajH8kG0Wm4y9I1W1k4TTZsblUG4sgHlSUg&#10;y0KeVyj/AAAA//8DAFBLAQItABQABgAIAAAAIQC2gziS/gAAAOEBAAATAAAAAAAAAAAAAAAAAAAA&#10;AABbQ29udGVudF9UeXBlc10ueG1sUEsBAi0AFAAGAAgAAAAhADj9If/WAAAAlAEAAAsAAAAAAAAA&#10;AAAAAAAALwEAAF9yZWxzLy5yZWxzUEsBAi0AFAAGAAgAAAAhAJYQ7ltxAgAABgUAAA4AAAAAAAAA&#10;AAAAAAAALgIAAGRycy9lMm9Eb2MueG1sUEsBAi0AFAAGAAgAAAAhAD93VSnfAAAACgEAAA8AAAAA&#10;AAAAAAAAAAAAywQAAGRycy9kb3ducmV2LnhtbFBLBQYAAAAABAAEAPMAAADXBQAAAAA=&#10;" adj="18166" fillcolor="#4f81bd" strokecolor="#385d8a" strokeweight="2pt">
                <v:path arrowok="t"/>
                <v:textbox>
                  <w:txbxContent>
                    <w:p w:rsidR="001117BE" w:rsidRPr="007D7301" w:rsidRDefault="001117BE" w:rsidP="001117B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highlight w:val="yellow"/>
                          <w:lang w:val="uk-UA"/>
                        </w:rPr>
                        <w:t>+4,6</w:t>
                      </w:r>
                      <w:r w:rsidRPr="00220C8E">
                        <w:rPr>
                          <w:b/>
                          <w:highlight w:val="yellow"/>
                          <w:lang w:val="uk-UA"/>
                        </w:rPr>
                        <w:t xml:space="preserve"> млн.грн.</w:t>
                      </w:r>
                    </w:p>
                  </w:txbxContent>
                </v:textbox>
              </v:shape>
            </w:pict>
          </mc:Fallback>
        </mc:AlternateContent>
      </w:r>
    </w:p>
    <w:p w:rsidR="008E28AC" w:rsidRPr="00241B10" w:rsidRDefault="009E7D36" w:rsidP="001117BE">
      <w:pPr>
        <w:spacing w:after="200" w:line="276" w:lineRule="auto"/>
        <w:rPr>
          <w:rFonts w:ascii="Calibri" w:eastAsia="Calibri" w:hAnsi="Calibri"/>
          <w:sz w:val="28"/>
          <w:szCs w:val="28"/>
          <w:u w:val="single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49530</wp:posOffset>
                </wp:positionV>
                <wp:extent cx="1190625" cy="1721485"/>
                <wp:effectExtent l="17780" t="21590" r="20320" b="19050"/>
                <wp:wrapNone/>
                <wp:docPr id="488666240" name="Цилиндр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721485"/>
                        </a:xfrm>
                        <a:prstGeom prst="can">
                          <a:avLst>
                            <a:gd name="adj" fmla="val 16186"/>
                          </a:avLst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17BE" w:rsidRDefault="001117BE" w:rsidP="001117BE">
                            <w:pPr>
                              <w:jc w:val="center"/>
                              <w:rPr>
                                <w:highlight w:val="magenta"/>
                                <w:lang w:val="uk-UA"/>
                              </w:rPr>
                            </w:pPr>
                          </w:p>
                          <w:p w:rsidR="001117BE" w:rsidRDefault="001117BE" w:rsidP="001117BE">
                            <w:pPr>
                              <w:jc w:val="center"/>
                              <w:rPr>
                                <w:highlight w:val="magenta"/>
                                <w:lang w:val="uk-UA"/>
                              </w:rPr>
                            </w:pPr>
                          </w:p>
                          <w:p w:rsidR="001117BE" w:rsidRDefault="001117BE" w:rsidP="001117BE">
                            <w:pPr>
                              <w:jc w:val="center"/>
                              <w:rPr>
                                <w:highlight w:val="magenta"/>
                                <w:lang w:val="uk-UA"/>
                              </w:rPr>
                            </w:pPr>
                          </w:p>
                          <w:p w:rsidR="001117BE" w:rsidRDefault="001117BE" w:rsidP="001117BE">
                            <w:pPr>
                              <w:jc w:val="center"/>
                              <w:rPr>
                                <w:highlight w:val="magenta"/>
                                <w:lang w:val="uk-UA"/>
                              </w:rPr>
                            </w:pPr>
                          </w:p>
                          <w:p w:rsidR="001117BE" w:rsidRPr="007D7301" w:rsidRDefault="001117BE" w:rsidP="001117B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100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,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7D7301">
                              <w:rPr>
                                <w:b/>
                                <w:lang w:val="uk-UA"/>
                              </w:rPr>
                              <w:t xml:space="preserve"> млн.грн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3" o:spid="_x0000_s1034" type="#_x0000_t22" style="position:absolute;margin-left:358.1pt;margin-top:3.9pt;width:93.75pt;height:135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ymMwIAAFUEAAAOAAAAZHJzL2Uyb0RvYy54bWysVNtu2zAMfR+wfxD0vtjOktQ16hRdswwD&#10;ugvQ7QMUSba1yZJGKXHarx8lu1m67WnYi0GK4iHPIeWr62OvyUGCV9bUtJjllEjDrVCmrenXL9tX&#10;JSU+MCOYtkbW9EF6er1++eJqcJWc285qIYEgiPHV4GraheCqLPO8kz3zM+ukwWBjoWcBXWgzAWxA&#10;9F5n8zxfZYMF4cBy6T2ebsYgXSf8ppE8fGoaLwPRNcXeQvpC+u7iN1tfsaoF5jrFpzbYP3TRM2Ww&#10;6AlqwwIje1B/QPWKg/W2CTNu+8w2jeIycUA2Rf4bm/uOOZm4oDjenWTy/w+Wfzzcu88QW/fuzvLv&#10;nhh72zHTyhsAO3SSCSxXRKGywfnqlBAdj6lkN3ywAkfL9sEmDY4N9BEQ2ZFjkvrhJLU8BsLxsCgu&#10;89V8SQnHWHExLxblMtVg1VO6Ax/eSduTaNSUs1FhdrjzIUktiGF9LCy+UdL0Ggd3YJoUq6JcTVjT&#10;5YxVT2iJqdVKbJXWyYF2d6uBYGpNF9uyeLOZkv35NW3IUNP5cpHjGjHd4rbzAInvs3v+HO51udyU&#10;N3+DA7s3Ii1fVPjtZAem9Ghjx9pMkkeV40L7Khx3R6JETcuIGU92VjzgDMCOm40vEY3OwiMlA251&#10;Tf2PPQNJiX5vcI6XxWIRn0FyFsuLOTpwHtmdR5jhCDUSJaNzG8bHs3eg2g5rFUkCY29w+o0KT2sy&#10;9jURwN1F69njOPfTrV9/g/VPAAAA//8DAFBLAwQUAAYACAAAACEA05V/UOEAAAAJAQAADwAAAGRy&#10;cy9kb3ducmV2LnhtbEyPwU7DMBBE70j8g7VIXBB1mqhNE+JUFVKR4IJa+AA3XpJAvI5iNwn9epYT&#10;3HY0o9k3xXa2nRhx8K0jBctFBAKpcqalWsH72/5+A8IHTUZ3jlDBN3rYltdXhc6Nm+iA4zHUgkvI&#10;51pBE0KfS+mrBq32C9cjsffhBqsDy6GWZtATl9tOxlG0lla3xB8a3eNjg9XX8WwVPNF0tzokUfb5&#10;8ry/vF7Gya+SnVK3N/PuAUTAOfyF4Ref0aFkppM7k/GiU5Au1zFH+eAF7GdRkoI4KYjTTQayLOT/&#10;BeUPAAAA//8DAFBLAQItABQABgAIAAAAIQC2gziS/gAAAOEBAAATAAAAAAAAAAAAAAAAAAAAAABb&#10;Q29udGVudF9UeXBlc10ueG1sUEsBAi0AFAAGAAgAAAAhADj9If/WAAAAlAEAAAsAAAAAAAAAAAAA&#10;AAAALwEAAF9yZWxzLy5yZWxzUEsBAi0AFAAGAAgAAAAhAFVpTKYzAgAAVQQAAA4AAAAAAAAAAAAA&#10;AAAALgIAAGRycy9lMm9Eb2MueG1sUEsBAi0AFAAGAAgAAAAhANOVf1DhAAAACQEAAA8AAAAAAAAA&#10;AAAAAAAAjQQAAGRycy9kb3ducmV2LnhtbFBLBQYAAAAABAAEAPMAAACbBQAAAAA=&#10;" adj="2418" fillcolor="#4f81bd" strokecolor="#385d8a" strokeweight="2pt">
                <v:textbox>
                  <w:txbxContent>
                    <w:p w:rsidR="001117BE" w:rsidRDefault="001117BE" w:rsidP="001117BE">
                      <w:pPr>
                        <w:jc w:val="center"/>
                        <w:rPr>
                          <w:highlight w:val="magenta"/>
                          <w:lang w:val="uk-UA"/>
                        </w:rPr>
                      </w:pPr>
                    </w:p>
                    <w:p w:rsidR="001117BE" w:rsidRDefault="001117BE" w:rsidP="001117BE">
                      <w:pPr>
                        <w:jc w:val="center"/>
                        <w:rPr>
                          <w:highlight w:val="magenta"/>
                          <w:lang w:val="uk-UA"/>
                        </w:rPr>
                      </w:pPr>
                    </w:p>
                    <w:p w:rsidR="001117BE" w:rsidRDefault="001117BE" w:rsidP="001117BE">
                      <w:pPr>
                        <w:jc w:val="center"/>
                        <w:rPr>
                          <w:highlight w:val="magenta"/>
                          <w:lang w:val="uk-UA"/>
                        </w:rPr>
                      </w:pPr>
                    </w:p>
                    <w:p w:rsidR="001117BE" w:rsidRDefault="001117BE" w:rsidP="001117BE">
                      <w:pPr>
                        <w:jc w:val="center"/>
                        <w:rPr>
                          <w:highlight w:val="magenta"/>
                          <w:lang w:val="uk-UA"/>
                        </w:rPr>
                      </w:pPr>
                    </w:p>
                    <w:p w:rsidR="001117BE" w:rsidRPr="007D7301" w:rsidRDefault="001117BE" w:rsidP="001117B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en-US"/>
                        </w:rPr>
                        <w:t>100</w:t>
                      </w:r>
                      <w:r>
                        <w:rPr>
                          <w:b/>
                          <w:lang w:val="uk-UA"/>
                        </w:rPr>
                        <w:t>,</w:t>
                      </w:r>
                      <w:r>
                        <w:rPr>
                          <w:b/>
                          <w:lang w:val="en-US"/>
                        </w:rPr>
                        <w:t>3</w:t>
                      </w:r>
                      <w:r w:rsidRPr="007D7301">
                        <w:rPr>
                          <w:b/>
                          <w:lang w:val="uk-UA"/>
                        </w:rPr>
                        <w:t xml:space="preserve"> млн.грн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342265</wp:posOffset>
                </wp:positionV>
                <wp:extent cx="1238250" cy="1428750"/>
                <wp:effectExtent l="0" t="0" r="0" b="0"/>
                <wp:wrapNone/>
                <wp:docPr id="1785404672" name="Цилиндр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428750"/>
                        </a:xfrm>
                        <a:prstGeom prst="ca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17BE" w:rsidRDefault="001117BE" w:rsidP="001117BE">
                            <w:pPr>
                              <w:jc w:val="center"/>
                              <w:rPr>
                                <w:highlight w:val="magenta"/>
                                <w:lang w:val="uk-UA"/>
                              </w:rPr>
                            </w:pPr>
                          </w:p>
                          <w:p w:rsidR="001117BE" w:rsidRDefault="001117BE" w:rsidP="001117BE">
                            <w:pPr>
                              <w:jc w:val="center"/>
                              <w:rPr>
                                <w:highlight w:val="magenta"/>
                                <w:lang w:val="uk-UA"/>
                              </w:rPr>
                            </w:pPr>
                          </w:p>
                          <w:p w:rsidR="001117BE" w:rsidRPr="007D7301" w:rsidRDefault="001117BE" w:rsidP="001117B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95,7</w:t>
                            </w:r>
                            <w:r w:rsidRPr="007D7301">
                              <w:rPr>
                                <w:b/>
                                <w:lang w:val="uk-UA"/>
                              </w:rPr>
                              <w:t xml:space="preserve"> млн.грн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2" o:spid="_x0000_s1035" type="#_x0000_t22" style="position:absolute;margin-left:187.95pt;margin-top:26.95pt;width:97.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lHbQIAAAAFAAAOAAAAZHJzL2Uyb0RvYy54bWysVE1v2zAMvQ/YfxB0Xx17yZoacYosQYYB&#10;QRugHXpmZCk2JkuapMTufv0o2UnTrqdhPgikSD5+6NGz266R5Mitq7UqaHo1ooQrpsta7Qv643H9&#10;aUqJ86BKkFrxgj5zR2/nHz/MWpPzTFdaltwSBFEub01BK+9NniSOVbwBd6UNV2gU2jbgUbX7pLTQ&#10;Inojk2w0+pK02pbGasadw9tVb6TziC8EZ/5eCMc9kQXF2nw8bTx34UzmM8j3FkxVs6EM+IcqGqgV&#10;Jj1DrcADOdj6L6imZlY7LfwV002ihagZjz1gN+noTTcPFRgee8HhOHMek/t/sOzu+GC2NpTuzEaz&#10;nw4nkrTG5WdLUNzg0wnbBF8snHRxis/nKfLOE4aXafZ5mk1w2Axt6TibXqMSUCE/hRvr/DeuGxKE&#10;gjLohwfHjfO958kjFqZlXa5rKaNi97ultOQI+KLj9TT9uhrA3aWbVKQtaDYZj0IhgMwSEjyKjSkL&#10;6tSeEpB7pCzzNj7cq2j3TpKYvIKS96knI/xOmXv32OIrnNDFClzVh0TTECJVwOORoUPTL3MOku92&#10;Hamx1psQEW52unzeWmJ1T2Jn2LpG/A04vwWLrMVOcRP9PR5CamxfDxIllba/37sP/kgmtFLS4hbg&#10;aH4dwHJK5HeFNLtJx+OwNlEZT64zVOylZXdpUYdmqfFZUtx5w6IY/L08icLq5gkXdhGyogkUw9z9&#10;IwzK0vfbiSvP+GIR3XBVDPiNejAsgIfJhck+dk9gzcAhj/S706eNgfwNl3rfEKn04uC1qCPRXuY6&#10;sB7XLD7j8EsIe3ypR6+XH9f8DwAAAP//AwBQSwMEFAAGAAgAAAAhAIKtN+7fAAAACgEAAA8AAABk&#10;cnMvZG93bnJldi54bWxMj89OwzAMh+9IvENkJC5oS9ko7UrdCSFxYocy9gBZ6/4RTVKaZC1vjznB&#10;ybb86efP+X7Rg7jQ5HprEO7XEQgyla170yKcPl5XKQjnlanVYA0hfJODfXF9laustrN5p8vRt4JD&#10;jMsUQuf9mEnpqo60cms7kuFdYyetPI9TK+tJzRyuB7mJokepVW/4QqdGeumo+jwGjfAwhkPz1R9a&#10;7cNdGcp0fmtkiXh7szw/gfC0+D8YfvVZHQp2OttgaicGhG0S7xhFiLdcGYiTiJszwiZJdyCLXP5/&#10;ofgBAAD//wMAUEsBAi0AFAAGAAgAAAAhALaDOJL+AAAA4QEAABMAAAAAAAAAAAAAAAAAAAAAAFtD&#10;b250ZW50X1R5cGVzXS54bWxQSwECLQAUAAYACAAAACEAOP0h/9YAAACUAQAACwAAAAAAAAAAAAAA&#10;AAAvAQAAX3JlbHMvLnJlbHNQSwECLQAUAAYACAAAACEA+Z0JR20CAAAABQAADgAAAAAAAAAAAAAA&#10;AAAuAgAAZHJzL2Uyb0RvYy54bWxQSwECLQAUAAYACAAAACEAgq037t8AAAAKAQAADwAAAAAAAAAA&#10;AAAAAADHBAAAZHJzL2Rvd25yZXYueG1sUEsFBgAAAAAEAAQA8wAAANMFAAAAAA==&#10;" adj="4680" fillcolor="#4f81bd" strokecolor="#385d8a" strokeweight="2pt">
                <v:path arrowok="t"/>
                <v:textbox>
                  <w:txbxContent>
                    <w:p w:rsidR="001117BE" w:rsidRDefault="001117BE" w:rsidP="001117BE">
                      <w:pPr>
                        <w:jc w:val="center"/>
                        <w:rPr>
                          <w:highlight w:val="magenta"/>
                          <w:lang w:val="uk-UA"/>
                        </w:rPr>
                      </w:pPr>
                    </w:p>
                    <w:p w:rsidR="001117BE" w:rsidRDefault="001117BE" w:rsidP="001117BE">
                      <w:pPr>
                        <w:jc w:val="center"/>
                        <w:rPr>
                          <w:highlight w:val="magenta"/>
                          <w:lang w:val="uk-UA"/>
                        </w:rPr>
                      </w:pPr>
                    </w:p>
                    <w:p w:rsidR="001117BE" w:rsidRPr="007D7301" w:rsidRDefault="001117BE" w:rsidP="001117B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95,7</w:t>
                      </w:r>
                      <w:r w:rsidRPr="007D7301">
                        <w:rPr>
                          <w:b/>
                          <w:lang w:val="uk-UA"/>
                        </w:rPr>
                        <w:t xml:space="preserve"> млн.грн</w:t>
                      </w:r>
                    </w:p>
                  </w:txbxContent>
                </v:textbox>
              </v:shape>
            </w:pict>
          </mc:Fallback>
        </mc:AlternateContent>
      </w:r>
    </w:p>
    <w:p w:rsidR="001117BE" w:rsidRPr="002D685D" w:rsidRDefault="009E7D36" w:rsidP="001117BE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106045</wp:posOffset>
                </wp:positionV>
                <wp:extent cx="1285875" cy="1288415"/>
                <wp:effectExtent l="0" t="0" r="9525" b="6985"/>
                <wp:wrapNone/>
                <wp:docPr id="925161498" name="Блок-схема: магнитный дис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288415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17BE" w:rsidRDefault="001117BE" w:rsidP="001117BE">
                            <w:pPr>
                              <w:jc w:val="center"/>
                              <w:rPr>
                                <w:highlight w:val="magenta"/>
                                <w:lang w:val="uk-UA"/>
                              </w:rPr>
                            </w:pPr>
                          </w:p>
                          <w:p w:rsidR="001117BE" w:rsidRPr="007D7301" w:rsidRDefault="001117BE" w:rsidP="001117B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2,2</w:t>
                            </w:r>
                            <w:r w:rsidRPr="007D730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7D7301">
                              <w:rPr>
                                <w:b/>
                                <w:lang w:val="uk-UA"/>
                              </w:rPr>
                              <w:t>млн.грн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1" o:spid="_x0000_s1036" type="#_x0000_t132" style="position:absolute;margin-left:23.7pt;margin-top:8.35pt;width:101.25pt;height:101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5begIAABMFAAAOAAAAZHJzL2Uyb0RvYy54bWysVMlu2zAQvRfoPxC817IMu3GFyIFrw0UB&#10;NwmQFDmPKUoiQpEsSVtKv75DSl6S5lRUB2KGsz+94fVN10hy4NYJrXKajsaUcMV0IVSV05+Pm09z&#10;SpwHVYDUiuf0hTt6s/j44bo1GZ/oWsuCW4JJlMtak9Pae5MliWM1b8CNtOEKjaW2DXhUbZUUFlrM&#10;3shkMh5/TlptC2M1487h7bo30kXMX5ac+buydNwTmVPszcfTxnMXzmRxDVllwdSCDW3AP3TRgFBY&#10;9JRqDR7I3oq/UjWCWe106UdMN4kuS8F4nAGnScdvpnmowfA4C4LjzAkm9//SstvDg7m3oXVntpo9&#10;O0QkaY3LTpaguMGnK20TfLFx0kUUX04o8s4ThpfpZD6bX80oYWhDZT5NZwHnBLJjuLHOf+O6IUHI&#10;aSl1u6rB+h9QKe4FWwv3HOGEw9b5PvYYE1vVUhQbIWVUbLVbSUsOgP94upmnX9dDOXfpJhVpczqZ&#10;TcfIAwbItVKCR7ExRU6dqigBWSGJmbex9qto906RWLyGgvelZ2P8jpV79zj0qzxhijW4ug+JpiFE&#10;qpCPR84OQ5+RD5Lvdh0R2Gsaq4SrnS5e7i2xuue1M2wjsMAWnL8Hi0TGUXE5/R0eAeSc6kGipNb2&#10;93v3wR/5hVZKWlwMxObXHiynRH5XyLwv6XQaNikq09nVBBV7adldWtS+WWn8Lyk+A4ZFMfh7eRRL&#10;q5sn3OFlqIomUAxr939hUFa+X1h8BRhfLqMbbo8Bv1UPhoXkAboA7WP3BNYMtPLIyFt9XCLI3pCp&#10;9w2RSi/3XpciMu2M67AIuHnxPw6vRFjtSz16nd+yxR8AAAD//wMAUEsDBBQABgAIAAAAIQA2RIuU&#10;4AAAAAkBAAAPAAAAZHJzL2Rvd25yZXYueG1sTI9PT4NAEMXvJn6HzZh4s0sJUkGWxpgQTx7EP4m3&#10;gd0Clp0l7LbFfnrHk95m5r28+b1iu9hRHM3sB0cK1qsIhKHW6YE6BW+v1c0dCB+QNI6OjIJv42Fb&#10;Xl4UmGt3ohdzrEMnOIR8jgr6EKZcSt/2xqJfuckQazs3Wwy8zp3UM5443I4yjqJUWhyIP/Q4mcfe&#10;tPv6YBU8pdidP+vnXRMvdLvH96/qozordX21PNyDCGYJf2b4xWd0KJmpcQfSXowKkk3CTr6nGxCs&#10;x0mWgWh4WGcpyLKQ/xuUPwAAAP//AwBQSwECLQAUAAYACAAAACEAtoM4kv4AAADhAQAAEwAAAAAA&#10;AAAAAAAAAAAAAAAAW0NvbnRlbnRfVHlwZXNdLnhtbFBLAQItABQABgAIAAAAIQA4/SH/1gAAAJQB&#10;AAALAAAAAAAAAAAAAAAAAC8BAABfcmVscy8ucmVsc1BLAQItABQABgAIAAAAIQCHCj5begIAABMF&#10;AAAOAAAAAAAAAAAAAAAAAC4CAABkcnMvZTJvRG9jLnhtbFBLAQItABQABgAIAAAAIQA2RIuU4AAA&#10;AAkBAAAPAAAAAAAAAAAAAAAAANQEAABkcnMvZG93bnJldi54bWxQSwUGAAAAAAQABADzAAAA4QUA&#10;AAAA&#10;" fillcolor="#4f81bd" strokecolor="#385d8a" strokeweight="2pt">
                <v:path arrowok="t"/>
                <v:textbox>
                  <w:txbxContent>
                    <w:p w:rsidR="001117BE" w:rsidRDefault="001117BE" w:rsidP="001117BE">
                      <w:pPr>
                        <w:jc w:val="center"/>
                        <w:rPr>
                          <w:highlight w:val="magenta"/>
                          <w:lang w:val="uk-UA"/>
                        </w:rPr>
                      </w:pPr>
                    </w:p>
                    <w:p w:rsidR="001117BE" w:rsidRPr="007D7301" w:rsidRDefault="001117BE" w:rsidP="001117B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en-US"/>
                        </w:rPr>
                        <w:t>10</w:t>
                      </w:r>
                      <w:r>
                        <w:rPr>
                          <w:b/>
                          <w:lang w:val="uk-UA"/>
                        </w:rPr>
                        <w:t>2,2</w:t>
                      </w:r>
                      <w:r w:rsidRPr="007D7301">
                        <w:rPr>
                          <w:b/>
                          <w:lang w:val="en-US"/>
                        </w:rPr>
                        <w:t xml:space="preserve"> </w:t>
                      </w:r>
                      <w:r w:rsidRPr="007D7301">
                        <w:rPr>
                          <w:b/>
                          <w:lang w:val="uk-UA"/>
                        </w:rPr>
                        <w:t>млн.грн</w:t>
                      </w:r>
                    </w:p>
                  </w:txbxContent>
                </v:textbox>
              </v:shape>
            </w:pict>
          </mc:Fallback>
        </mc:AlternateContent>
      </w:r>
    </w:p>
    <w:p w:rsidR="001117BE" w:rsidRPr="002D685D" w:rsidRDefault="001117BE" w:rsidP="001117BE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p w:rsidR="001117BE" w:rsidRPr="000D1FC5" w:rsidRDefault="001117BE" w:rsidP="001117B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lastRenderedPageBreak/>
        <w:t>Динаміка надходжень до міського бюджету Носівської територіальної громади в 2021 -2023 роках (тис.грн.)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417"/>
        <w:gridCol w:w="1418"/>
        <w:gridCol w:w="992"/>
      </w:tblGrid>
      <w:tr w:rsidR="001117BE" w:rsidRPr="00F53239" w:rsidTr="0041115D">
        <w:trPr>
          <w:trHeight w:val="806"/>
        </w:trPr>
        <w:tc>
          <w:tcPr>
            <w:tcW w:w="3652" w:type="dxa"/>
            <w:vMerge w:val="restart"/>
            <w:shd w:val="clear" w:color="auto" w:fill="auto"/>
          </w:tcPr>
          <w:p w:rsidR="001117BE" w:rsidRPr="00522D6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22D61">
              <w:rPr>
                <w:rFonts w:eastAsia="Calibri"/>
                <w:sz w:val="28"/>
                <w:szCs w:val="28"/>
                <w:lang w:val="uk-UA" w:eastAsia="en-US"/>
              </w:rPr>
              <w:t>Показники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17BE" w:rsidRPr="00522D6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22D61">
              <w:rPr>
                <w:rFonts w:eastAsia="Calibri"/>
                <w:sz w:val="28"/>
                <w:szCs w:val="28"/>
                <w:lang w:val="uk-UA" w:eastAsia="en-US"/>
              </w:rPr>
              <w:t>2021 рік</w:t>
            </w:r>
          </w:p>
          <w:p w:rsidR="001117BE" w:rsidRPr="00522D6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22D61">
              <w:rPr>
                <w:rFonts w:eastAsia="Calibri"/>
                <w:sz w:val="28"/>
                <w:szCs w:val="28"/>
                <w:lang w:val="uk-UA" w:eastAsia="en-US"/>
              </w:rPr>
              <w:t>(факт)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17BE" w:rsidRPr="00522D6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22D61">
              <w:rPr>
                <w:rFonts w:eastAsia="Calibri"/>
                <w:sz w:val="28"/>
                <w:szCs w:val="28"/>
                <w:lang w:val="uk-UA" w:eastAsia="en-US"/>
              </w:rPr>
              <w:t>2022 рік</w:t>
            </w:r>
          </w:p>
          <w:p w:rsidR="001117BE" w:rsidRPr="00522D61" w:rsidRDefault="001117BE" w:rsidP="00241B10">
            <w:pPr>
              <w:spacing w:after="200" w:line="276" w:lineRule="auto"/>
              <w:ind w:left="-108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22D61">
              <w:rPr>
                <w:rFonts w:eastAsia="Calibri"/>
                <w:sz w:val="28"/>
                <w:szCs w:val="28"/>
                <w:lang w:val="uk-UA" w:eastAsia="en-US"/>
              </w:rPr>
              <w:t>(очікува</w:t>
            </w:r>
            <w:r w:rsidR="00E90F63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Pr="00522D61">
              <w:rPr>
                <w:rFonts w:eastAsia="Calibri"/>
                <w:sz w:val="28"/>
                <w:szCs w:val="28"/>
                <w:lang w:val="uk-UA" w:eastAsia="en-US"/>
              </w:rPr>
              <w:t>ні)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17BE" w:rsidRPr="00522D6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22D61">
              <w:rPr>
                <w:rFonts w:eastAsia="Calibri"/>
                <w:sz w:val="28"/>
                <w:szCs w:val="28"/>
                <w:lang w:val="uk-UA" w:eastAsia="en-US"/>
              </w:rPr>
              <w:t>2023 рік</w:t>
            </w:r>
          </w:p>
          <w:p w:rsidR="001117BE" w:rsidRPr="00522D6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22D61">
              <w:rPr>
                <w:rFonts w:eastAsia="Calibri"/>
                <w:sz w:val="28"/>
                <w:szCs w:val="28"/>
                <w:lang w:val="uk-UA" w:eastAsia="en-US"/>
              </w:rPr>
              <w:t>(прогноз)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17BE" w:rsidRPr="00522D6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22D61">
              <w:rPr>
                <w:rFonts w:eastAsia="Calibri"/>
                <w:sz w:val="28"/>
                <w:szCs w:val="28"/>
                <w:lang w:val="uk-UA" w:eastAsia="en-US"/>
              </w:rPr>
              <w:t>2023 рік проти 2022 року</w:t>
            </w:r>
          </w:p>
        </w:tc>
      </w:tr>
      <w:tr w:rsidR="001117BE" w:rsidRPr="00F53239" w:rsidTr="0041115D">
        <w:trPr>
          <w:trHeight w:val="1095"/>
        </w:trPr>
        <w:tc>
          <w:tcPr>
            <w:tcW w:w="3652" w:type="dxa"/>
            <w:vMerge/>
            <w:shd w:val="clear" w:color="auto" w:fill="auto"/>
          </w:tcPr>
          <w:p w:rsidR="001117BE" w:rsidRPr="00522D6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17BE" w:rsidRPr="00522D6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17BE" w:rsidRPr="00522D6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117BE" w:rsidRPr="00522D6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117BE" w:rsidRPr="00522D6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22D61">
              <w:rPr>
                <w:rFonts w:eastAsia="Calibri"/>
                <w:sz w:val="28"/>
                <w:szCs w:val="28"/>
                <w:lang w:val="uk-UA" w:eastAsia="en-US"/>
              </w:rPr>
              <w:t>Відхилення (+,-) тис.грн.</w:t>
            </w:r>
          </w:p>
        </w:tc>
        <w:tc>
          <w:tcPr>
            <w:tcW w:w="992" w:type="dxa"/>
            <w:shd w:val="clear" w:color="auto" w:fill="auto"/>
          </w:tcPr>
          <w:p w:rsidR="001117BE" w:rsidRPr="00522D6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22D61">
              <w:rPr>
                <w:rFonts w:eastAsia="Calibri"/>
                <w:sz w:val="28"/>
                <w:szCs w:val="28"/>
                <w:lang w:val="uk-UA" w:eastAsia="en-US"/>
              </w:rPr>
              <w:t>Темпи росту %</w:t>
            </w:r>
          </w:p>
        </w:tc>
      </w:tr>
      <w:tr w:rsidR="001117BE" w:rsidRPr="00F53239" w:rsidTr="0041115D">
        <w:trPr>
          <w:trHeight w:val="793"/>
        </w:trPr>
        <w:tc>
          <w:tcPr>
            <w:tcW w:w="3652" w:type="dxa"/>
            <w:shd w:val="clear" w:color="auto" w:fill="auto"/>
          </w:tcPr>
          <w:p w:rsidR="001117BE" w:rsidRPr="00F926A1" w:rsidRDefault="001117BE" w:rsidP="00C2348A">
            <w:pPr>
              <w:tabs>
                <w:tab w:val="left" w:pos="1593"/>
              </w:tabs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Бюджет Носівської ТГ у т.ч.:</w:t>
            </w:r>
          </w:p>
        </w:tc>
        <w:tc>
          <w:tcPr>
            <w:tcW w:w="1276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106292,6</w:t>
            </w:r>
          </w:p>
        </w:tc>
        <w:tc>
          <w:tcPr>
            <w:tcW w:w="1276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98307,1</w:t>
            </w:r>
          </w:p>
        </w:tc>
        <w:tc>
          <w:tcPr>
            <w:tcW w:w="1417" w:type="dxa"/>
            <w:shd w:val="clear" w:color="auto" w:fill="auto"/>
          </w:tcPr>
          <w:p w:rsidR="001117BE" w:rsidRPr="00F926A1" w:rsidRDefault="001117BE" w:rsidP="00837051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104</w:t>
            </w:r>
            <w:r w:rsidR="00837051">
              <w:rPr>
                <w:rFonts w:eastAsia="Calibri"/>
                <w:sz w:val="28"/>
                <w:szCs w:val="28"/>
                <w:lang w:val="en-US" w:eastAsia="en-US"/>
              </w:rPr>
              <w:t>168</w:t>
            </w: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1117BE" w:rsidRPr="00F926A1" w:rsidRDefault="00FA663D" w:rsidP="00FA663D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+5861,8</w:t>
            </w:r>
          </w:p>
        </w:tc>
        <w:tc>
          <w:tcPr>
            <w:tcW w:w="992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</w:tr>
      <w:tr w:rsidR="001117BE" w:rsidRPr="00F53239" w:rsidTr="0041115D">
        <w:tc>
          <w:tcPr>
            <w:tcW w:w="3652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загальний фонд</w:t>
            </w:r>
          </w:p>
        </w:tc>
        <w:tc>
          <w:tcPr>
            <w:tcW w:w="1276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102183,2</w:t>
            </w:r>
          </w:p>
        </w:tc>
        <w:tc>
          <w:tcPr>
            <w:tcW w:w="1276" w:type="dxa"/>
            <w:shd w:val="clear" w:color="auto" w:fill="auto"/>
          </w:tcPr>
          <w:p w:rsidR="001117BE" w:rsidRPr="00F926A1" w:rsidRDefault="001117BE" w:rsidP="00C2348A">
            <w:pPr>
              <w:rPr>
                <w:sz w:val="28"/>
                <w:szCs w:val="28"/>
                <w:lang w:val="uk-UA"/>
              </w:rPr>
            </w:pPr>
            <w:r w:rsidRPr="00F926A1">
              <w:rPr>
                <w:sz w:val="28"/>
                <w:szCs w:val="28"/>
                <w:lang w:val="uk-UA"/>
              </w:rPr>
              <w:t>95652,1</w:t>
            </w:r>
          </w:p>
        </w:tc>
        <w:tc>
          <w:tcPr>
            <w:tcW w:w="1417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100286,5</w:t>
            </w:r>
          </w:p>
        </w:tc>
        <w:tc>
          <w:tcPr>
            <w:tcW w:w="1418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+4634,4</w:t>
            </w:r>
          </w:p>
        </w:tc>
        <w:tc>
          <w:tcPr>
            <w:tcW w:w="992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4,8</w:t>
            </w:r>
          </w:p>
        </w:tc>
      </w:tr>
      <w:tr w:rsidR="001117BE" w:rsidRPr="00F53239" w:rsidTr="0041115D">
        <w:tc>
          <w:tcPr>
            <w:tcW w:w="3652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спеціальний фонд</w:t>
            </w:r>
          </w:p>
        </w:tc>
        <w:tc>
          <w:tcPr>
            <w:tcW w:w="1276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4109,4</w:t>
            </w:r>
          </w:p>
        </w:tc>
        <w:tc>
          <w:tcPr>
            <w:tcW w:w="1276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2655,0</w:t>
            </w:r>
          </w:p>
        </w:tc>
        <w:tc>
          <w:tcPr>
            <w:tcW w:w="1417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3882,4</w:t>
            </w:r>
          </w:p>
        </w:tc>
        <w:tc>
          <w:tcPr>
            <w:tcW w:w="1418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+1227,4</w:t>
            </w:r>
          </w:p>
        </w:tc>
        <w:tc>
          <w:tcPr>
            <w:tcW w:w="992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46,2</w:t>
            </w:r>
          </w:p>
        </w:tc>
      </w:tr>
      <w:tr w:rsidR="001117BE" w:rsidRPr="00F53239" w:rsidTr="0041115D">
        <w:trPr>
          <w:trHeight w:val="898"/>
        </w:trPr>
        <w:tc>
          <w:tcPr>
            <w:tcW w:w="3652" w:type="dxa"/>
            <w:shd w:val="clear" w:color="auto" w:fill="auto"/>
          </w:tcPr>
          <w:p w:rsidR="001117BE" w:rsidRPr="00F926A1" w:rsidRDefault="001117BE" w:rsidP="0041115D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Трансферти з Д</w:t>
            </w:r>
            <w:r w:rsidR="00241B10">
              <w:rPr>
                <w:rFonts w:eastAsia="Calibri"/>
                <w:sz w:val="28"/>
                <w:szCs w:val="28"/>
                <w:lang w:val="uk-UA" w:eastAsia="en-US"/>
              </w:rPr>
              <w:t>ер</w:t>
            </w: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жавного</w:t>
            </w:r>
            <w:r w:rsidR="0041115D">
              <w:rPr>
                <w:rFonts w:eastAsia="Calibri"/>
                <w:sz w:val="28"/>
                <w:szCs w:val="28"/>
                <w:lang w:val="uk-UA" w:eastAsia="en-US"/>
              </w:rPr>
              <w:t xml:space="preserve"> та</w:t>
            </w:r>
            <w:r w:rsidR="00241B10">
              <w:rPr>
                <w:rFonts w:eastAsia="Calibri"/>
                <w:sz w:val="28"/>
                <w:szCs w:val="28"/>
                <w:lang w:val="uk-UA" w:eastAsia="en-US"/>
              </w:rPr>
              <w:t xml:space="preserve"> місцевих</w:t>
            </w: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 xml:space="preserve"> бюджет</w:t>
            </w:r>
            <w:r w:rsidR="00241B10">
              <w:rPr>
                <w:rFonts w:eastAsia="Calibri"/>
                <w:sz w:val="28"/>
                <w:szCs w:val="28"/>
                <w:lang w:val="uk-UA" w:eastAsia="en-US"/>
              </w:rPr>
              <w:t>ів</w:t>
            </w: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 xml:space="preserve"> ,у</w:t>
            </w:r>
            <w:r w:rsidR="0041115D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т.ч.</w:t>
            </w:r>
          </w:p>
        </w:tc>
        <w:tc>
          <w:tcPr>
            <w:tcW w:w="1276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91472,3</w:t>
            </w:r>
          </w:p>
        </w:tc>
        <w:tc>
          <w:tcPr>
            <w:tcW w:w="1276" w:type="dxa"/>
            <w:shd w:val="clear" w:color="auto" w:fill="auto"/>
          </w:tcPr>
          <w:p w:rsidR="001117BE" w:rsidRPr="00F926A1" w:rsidRDefault="001117BE" w:rsidP="00C234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77943,6</w:t>
            </w:r>
          </w:p>
        </w:tc>
        <w:tc>
          <w:tcPr>
            <w:tcW w:w="1417" w:type="dxa"/>
            <w:shd w:val="clear" w:color="auto" w:fill="auto"/>
          </w:tcPr>
          <w:p w:rsidR="001117BE" w:rsidRPr="00F926A1" w:rsidRDefault="007E7575" w:rsidP="007E7575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87654,5</w:t>
            </w:r>
          </w:p>
        </w:tc>
        <w:tc>
          <w:tcPr>
            <w:tcW w:w="1418" w:type="dxa"/>
            <w:shd w:val="clear" w:color="auto" w:fill="auto"/>
          </w:tcPr>
          <w:p w:rsidR="001117BE" w:rsidRPr="00F926A1" w:rsidRDefault="007E7575" w:rsidP="00FA663D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+9710,9</w:t>
            </w:r>
          </w:p>
        </w:tc>
        <w:tc>
          <w:tcPr>
            <w:tcW w:w="992" w:type="dxa"/>
            <w:shd w:val="clear" w:color="auto" w:fill="auto"/>
          </w:tcPr>
          <w:p w:rsidR="001117BE" w:rsidRPr="00F926A1" w:rsidRDefault="007E7575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12,5</w:t>
            </w:r>
          </w:p>
        </w:tc>
      </w:tr>
      <w:tr w:rsidR="001117BE" w:rsidRPr="00F53239" w:rsidTr="0041115D">
        <w:tc>
          <w:tcPr>
            <w:tcW w:w="3652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загальний фонд</w:t>
            </w:r>
          </w:p>
        </w:tc>
        <w:tc>
          <w:tcPr>
            <w:tcW w:w="1276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91472,3</w:t>
            </w:r>
          </w:p>
        </w:tc>
        <w:tc>
          <w:tcPr>
            <w:tcW w:w="1276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77943,6</w:t>
            </w:r>
          </w:p>
        </w:tc>
        <w:tc>
          <w:tcPr>
            <w:tcW w:w="1417" w:type="dxa"/>
            <w:shd w:val="clear" w:color="auto" w:fill="auto"/>
          </w:tcPr>
          <w:p w:rsidR="001117BE" w:rsidRPr="00F926A1" w:rsidRDefault="007E7575" w:rsidP="007E7575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87654,5</w:t>
            </w:r>
          </w:p>
        </w:tc>
        <w:tc>
          <w:tcPr>
            <w:tcW w:w="1418" w:type="dxa"/>
            <w:shd w:val="clear" w:color="auto" w:fill="auto"/>
          </w:tcPr>
          <w:p w:rsidR="001117BE" w:rsidRPr="00F926A1" w:rsidRDefault="007E7575" w:rsidP="00FA663D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+9710,9</w:t>
            </w:r>
          </w:p>
        </w:tc>
        <w:tc>
          <w:tcPr>
            <w:tcW w:w="992" w:type="dxa"/>
            <w:shd w:val="clear" w:color="auto" w:fill="auto"/>
          </w:tcPr>
          <w:p w:rsidR="001117BE" w:rsidRPr="00F926A1" w:rsidRDefault="007E7575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12,5</w:t>
            </w:r>
          </w:p>
        </w:tc>
      </w:tr>
      <w:tr w:rsidR="001117BE" w:rsidRPr="00F53239" w:rsidTr="0041115D">
        <w:tc>
          <w:tcPr>
            <w:tcW w:w="3652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спеціальний фонд</w:t>
            </w:r>
          </w:p>
        </w:tc>
        <w:tc>
          <w:tcPr>
            <w:tcW w:w="1276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117BE" w:rsidRPr="00F53239" w:rsidTr="0041115D">
        <w:tc>
          <w:tcPr>
            <w:tcW w:w="3652" w:type="dxa"/>
            <w:shd w:val="clear" w:color="auto" w:fill="auto"/>
          </w:tcPr>
          <w:p w:rsidR="001117BE" w:rsidRPr="00F926A1" w:rsidRDefault="001117BE" w:rsidP="00241B10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 xml:space="preserve">Всього надходжень до </w:t>
            </w:r>
            <w:r w:rsidR="00241B10">
              <w:rPr>
                <w:rFonts w:eastAsia="Calibri"/>
                <w:sz w:val="28"/>
                <w:szCs w:val="28"/>
                <w:lang w:val="uk-UA" w:eastAsia="en-US"/>
              </w:rPr>
              <w:t>місцевого бюджету</w:t>
            </w:r>
          </w:p>
        </w:tc>
        <w:tc>
          <w:tcPr>
            <w:tcW w:w="1276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926A1">
              <w:rPr>
                <w:rFonts w:eastAsia="Calibri"/>
                <w:sz w:val="28"/>
                <w:szCs w:val="28"/>
                <w:lang w:val="uk-UA" w:eastAsia="en-US"/>
              </w:rPr>
              <w:t>198364,9</w:t>
            </w:r>
          </w:p>
        </w:tc>
        <w:tc>
          <w:tcPr>
            <w:tcW w:w="1276" w:type="dxa"/>
            <w:shd w:val="clear" w:color="auto" w:fill="auto"/>
          </w:tcPr>
          <w:p w:rsidR="001117BE" w:rsidRPr="00F926A1" w:rsidRDefault="001117BE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176250,7</w:t>
            </w:r>
          </w:p>
        </w:tc>
        <w:tc>
          <w:tcPr>
            <w:tcW w:w="1417" w:type="dxa"/>
            <w:shd w:val="clear" w:color="auto" w:fill="auto"/>
          </w:tcPr>
          <w:p w:rsidR="001117BE" w:rsidRPr="00FA663D" w:rsidRDefault="007E7575" w:rsidP="00FA663D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191823,4</w:t>
            </w:r>
          </w:p>
        </w:tc>
        <w:tc>
          <w:tcPr>
            <w:tcW w:w="1418" w:type="dxa"/>
            <w:shd w:val="clear" w:color="auto" w:fill="auto"/>
          </w:tcPr>
          <w:p w:rsidR="001117BE" w:rsidRPr="00F926A1" w:rsidRDefault="007E7575" w:rsidP="007E7575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+15572,7</w:t>
            </w:r>
          </w:p>
        </w:tc>
        <w:tc>
          <w:tcPr>
            <w:tcW w:w="992" w:type="dxa"/>
            <w:shd w:val="clear" w:color="auto" w:fill="auto"/>
          </w:tcPr>
          <w:p w:rsidR="001117BE" w:rsidRPr="00F926A1" w:rsidRDefault="007E7575" w:rsidP="00C2348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8,8</w:t>
            </w:r>
          </w:p>
        </w:tc>
      </w:tr>
    </w:tbl>
    <w:p w:rsidR="00670ED0" w:rsidRDefault="00670ED0" w:rsidP="001117BE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1117BE" w:rsidRPr="00DA0BA4" w:rsidRDefault="001117BE" w:rsidP="001117BE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DA0BA4">
        <w:rPr>
          <w:sz w:val="28"/>
          <w:szCs w:val="28"/>
          <w:shd w:val="clear" w:color="auto" w:fill="FFFFFF"/>
          <w:lang w:val="uk-UA"/>
        </w:rPr>
        <w:t xml:space="preserve">При формуванні планових показників дохідної частини міського бюджету на 2023 рік враховувались базові (фактичні) показники надходжень податків і зборів за попередній 2021 рік та очікувані надходження 2022 року. </w:t>
      </w:r>
    </w:p>
    <w:p w:rsidR="001117BE" w:rsidRPr="00DA0BA4" w:rsidRDefault="001117BE" w:rsidP="001117B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 w:rsidRPr="00DA0BA4">
        <w:rPr>
          <w:sz w:val="28"/>
          <w:szCs w:val="28"/>
          <w:lang w:val="uk-UA"/>
        </w:rPr>
        <w:t xml:space="preserve">меншення </w:t>
      </w:r>
      <w:r>
        <w:rPr>
          <w:sz w:val="28"/>
          <w:szCs w:val="28"/>
          <w:lang w:val="uk-UA"/>
        </w:rPr>
        <w:t>очікуваних надходжень,</w:t>
      </w:r>
      <w:r w:rsidRPr="00DA0BA4">
        <w:rPr>
          <w:sz w:val="28"/>
          <w:szCs w:val="28"/>
          <w:lang w:val="uk-UA"/>
        </w:rPr>
        <w:t xml:space="preserve"> невиконання планових показників</w:t>
      </w:r>
      <w:r>
        <w:rPr>
          <w:sz w:val="28"/>
          <w:szCs w:val="28"/>
          <w:lang w:val="uk-UA"/>
        </w:rPr>
        <w:t xml:space="preserve"> 2022 року</w:t>
      </w:r>
      <w:r w:rsidRPr="00DA0BA4">
        <w:rPr>
          <w:sz w:val="28"/>
          <w:szCs w:val="28"/>
          <w:lang w:val="uk-UA"/>
        </w:rPr>
        <w:t>, в першу чергу пов’язане із внесенням змін Законами України №2120 від 15.03.2022 року «Про внесення змін до Податкового кодексу України та інших законодавчих актів України щодо дії норм на період дії воєнного стану» та №2142 від 24.03.2022 року «Про внесення змін до Податкового кодексу України та інших законодавчих актів України щодо вдосконалення законодавства на період дії воєнного стану».</w:t>
      </w:r>
    </w:p>
    <w:p w:rsidR="001117BE" w:rsidRPr="00DA0BA4" w:rsidRDefault="001117BE" w:rsidP="001117BE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236F6A">
        <w:rPr>
          <w:sz w:val="28"/>
          <w:szCs w:val="28"/>
          <w:shd w:val="clear" w:color="auto" w:fill="FFFFFF"/>
          <w:lang w:val="uk-UA"/>
        </w:rPr>
        <w:t xml:space="preserve">Невиконання запланованих показників </w:t>
      </w:r>
      <w:r>
        <w:rPr>
          <w:sz w:val="28"/>
          <w:szCs w:val="28"/>
          <w:shd w:val="clear" w:color="auto" w:fill="FFFFFF"/>
          <w:lang w:val="uk-UA"/>
        </w:rPr>
        <w:t xml:space="preserve">у 2022 році, </w:t>
      </w:r>
      <w:r w:rsidRPr="00236F6A">
        <w:rPr>
          <w:sz w:val="28"/>
          <w:szCs w:val="28"/>
          <w:shd w:val="clear" w:color="auto" w:fill="FFFFFF"/>
          <w:lang w:val="uk-UA"/>
        </w:rPr>
        <w:t>в розрізі джерел доходів наступні:</w:t>
      </w:r>
    </w:p>
    <w:p w:rsidR="001117BE" w:rsidRPr="00345376" w:rsidRDefault="001117BE" w:rsidP="001117BE">
      <w:pPr>
        <w:jc w:val="both"/>
        <w:rPr>
          <w:sz w:val="28"/>
          <w:szCs w:val="28"/>
          <w:lang w:val="uk-UA"/>
        </w:rPr>
      </w:pPr>
      <w:r w:rsidRPr="00DA0BA4">
        <w:rPr>
          <w:sz w:val="28"/>
          <w:szCs w:val="28"/>
          <w:shd w:val="clear" w:color="auto" w:fill="FFFFFF"/>
          <w:lang w:val="uk-UA"/>
        </w:rPr>
        <w:t xml:space="preserve"> - </w:t>
      </w:r>
      <w:r w:rsidRPr="00AA40BA">
        <w:rPr>
          <w:sz w:val="28"/>
          <w:szCs w:val="28"/>
          <w:lang w:val="uk-UA"/>
        </w:rPr>
        <w:t>Податок на доходи фізичних осіб, що сплачується податковими агентами, із доходів платника податку у вигляді заробітної плати</w:t>
      </w:r>
      <w:r w:rsidRPr="00DA0B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очікуване невиконання </w:t>
      </w:r>
      <w:r w:rsidRPr="00DA0BA4">
        <w:rPr>
          <w:sz w:val="28"/>
          <w:szCs w:val="28"/>
          <w:lang w:val="uk-UA"/>
        </w:rPr>
        <w:t xml:space="preserve">в сумі біля </w:t>
      </w:r>
      <w:r w:rsidRPr="00345376">
        <w:rPr>
          <w:b/>
          <w:sz w:val="28"/>
          <w:szCs w:val="28"/>
          <w:lang w:val="uk-UA"/>
        </w:rPr>
        <w:t>50</w:t>
      </w:r>
      <w:r w:rsidRPr="00AA40BA">
        <w:rPr>
          <w:b/>
          <w:sz w:val="28"/>
          <w:szCs w:val="28"/>
          <w:lang w:val="uk-UA"/>
        </w:rPr>
        <w:t>00,</w:t>
      </w:r>
      <w:r w:rsidRPr="00DA0BA4">
        <w:rPr>
          <w:b/>
          <w:sz w:val="28"/>
          <w:szCs w:val="28"/>
          <w:lang w:val="uk-UA"/>
        </w:rPr>
        <w:t>0</w:t>
      </w:r>
      <w:r w:rsidRPr="00DA0BA4">
        <w:rPr>
          <w:sz w:val="28"/>
          <w:szCs w:val="28"/>
          <w:lang w:val="uk-UA"/>
        </w:rPr>
        <w:t xml:space="preserve"> тис.грн., </w:t>
      </w:r>
      <w:r>
        <w:rPr>
          <w:sz w:val="28"/>
          <w:szCs w:val="28"/>
          <w:lang w:val="uk-UA"/>
        </w:rPr>
        <w:t>що пояснюється зменшенням ділової активності суб</w:t>
      </w:r>
      <w:r w:rsidRPr="0034537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господарювання, виходячи з можливостей в період дії воєнного стану та зменшення фонду оплати праці за час простою в бюджетних установ.</w:t>
      </w:r>
    </w:p>
    <w:p w:rsidR="001117BE" w:rsidRDefault="001117BE" w:rsidP="001117BE">
      <w:pPr>
        <w:jc w:val="both"/>
        <w:rPr>
          <w:bCs/>
          <w:color w:val="000000"/>
          <w:sz w:val="28"/>
          <w:szCs w:val="28"/>
          <w:lang w:val="uk-UA"/>
        </w:rPr>
      </w:pPr>
      <w:r w:rsidRPr="00310991">
        <w:rPr>
          <w:sz w:val="28"/>
          <w:szCs w:val="28"/>
          <w:lang w:val="uk-UA"/>
        </w:rPr>
        <w:lastRenderedPageBreak/>
        <w:t xml:space="preserve">- </w:t>
      </w:r>
      <w:r w:rsidRPr="006B5DDE">
        <w:rPr>
          <w:sz w:val="28"/>
          <w:szCs w:val="28"/>
          <w:lang w:val="uk-UA"/>
        </w:rPr>
        <w:t>Рентн</w:t>
      </w:r>
      <w:r>
        <w:rPr>
          <w:sz w:val="28"/>
          <w:szCs w:val="28"/>
          <w:lang w:val="uk-UA"/>
        </w:rPr>
        <w:t>а</w:t>
      </w:r>
      <w:r w:rsidRPr="006B5DDE">
        <w:rPr>
          <w:sz w:val="28"/>
          <w:szCs w:val="28"/>
          <w:lang w:val="uk-UA"/>
        </w:rPr>
        <w:t xml:space="preserve"> плат</w:t>
      </w:r>
      <w:r>
        <w:rPr>
          <w:sz w:val="28"/>
          <w:szCs w:val="28"/>
          <w:lang w:val="uk-UA"/>
        </w:rPr>
        <w:t>а</w:t>
      </w:r>
      <w:r w:rsidRPr="006B5DDE">
        <w:rPr>
          <w:sz w:val="28"/>
          <w:szCs w:val="28"/>
          <w:lang w:val="uk-UA"/>
        </w:rPr>
        <w:t xml:space="preserve"> за спеціальне використання лісових ресурсів </w:t>
      </w:r>
      <w:r w:rsidRPr="004B7514">
        <w:rPr>
          <w:sz w:val="28"/>
          <w:szCs w:val="28"/>
          <w:lang w:val="uk-UA"/>
        </w:rPr>
        <w:t>в частині деревини, заготовленої в порядку рубок головного користування </w:t>
      </w:r>
      <w:r>
        <w:rPr>
          <w:sz w:val="28"/>
          <w:szCs w:val="28"/>
          <w:lang w:val="uk-UA"/>
        </w:rPr>
        <w:t xml:space="preserve"> очікуване невиконання -223,3 тис.грн. О</w:t>
      </w:r>
      <w:r>
        <w:rPr>
          <w:bCs/>
          <w:color w:val="000000"/>
          <w:sz w:val="28"/>
          <w:szCs w:val="28"/>
          <w:lang w:val="uk-UA"/>
        </w:rPr>
        <w:t>сновним платником є ДП Ніжинське лісове господарство, від якого надійшло за звітний період 445,5 тис.грн.</w:t>
      </w:r>
    </w:p>
    <w:p w:rsidR="001117BE" w:rsidRPr="00E13E27" w:rsidRDefault="001117BE" w:rsidP="001117B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B5DDE">
        <w:rPr>
          <w:sz w:val="28"/>
          <w:szCs w:val="28"/>
          <w:lang w:val="uk-UA"/>
        </w:rPr>
        <w:t xml:space="preserve"> </w:t>
      </w:r>
      <w:r w:rsidRPr="0058314A">
        <w:rPr>
          <w:sz w:val="28"/>
          <w:szCs w:val="28"/>
        </w:rPr>
        <w:t>Для бюджету громади</w:t>
      </w:r>
      <w:r>
        <w:rPr>
          <w:sz w:val="28"/>
          <w:szCs w:val="28"/>
        </w:rPr>
        <w:t xml:space="preserve"> відчутною втратою став акциз на пальне (через нульову ставку </w:t>
      </w:r>
      <w:r w:rsidRPr="00E13E27">
        <w:rPr>
          <w:sz w:val="28"/>
          <w:szCs w:val="28"/>
        </w:rPr>
        <w:t>оподаткування</w:t>
      </w:r>
      <w:r>
        <w:rPr>
          <w:sz w:val="28"/>
          <w:szCs w:val="28"/>
          <w:lang w:val="uk-UA"/>
        </w:rPr>
        <w:t>,</w:t>
      </w:r>
      <w:r w:rsidRPr="00E13E27">
        <w:rPr>
          <w:sz w:val="28"/>
          <w:szCs w:val="28"/>
        </w:rPr>
        <w:t xml:space="preserve"> на період з 24 лютого 2022 року по 21 вересня 2022 року, що була введена для підтримки стабільності</w:t>
      </w:r>
      <w:r>
        <w:rPr>
          <w:sz w:val="28"/>
          <w:szCs w:val="28"/>
        </w:rPr>
        <w:t xml:space="preserve">  на ринку палива). </w:t>
      </w:r>
      <w:r w:rsidRPr="00316FCF">
        <w:rPr>
          <w:sz w:val="28"/>
          <w:szCs w:val="28"/>
        </w:rPr>
        <w:t xml:space="preserve">Акцизного податку з ввезених на митну територію України </w:t>
      </w:r>
      <w:r>
        <w:rPr>
          <w:sz w:val="28"/>
          <w:szCs w:val="28"/>
          <w:lang w:val="uk-UA"/>
        </w:rPr>
        <w:t xml:space="preserve">та з вироблених в Україні </w:t>
      </w:r>
      <w:r w:rsidRPr="00316FCF">
        <w:rPr>
          <w:sz w:val="28"/>
          <w:szCs w:val="28"/>
        </w:rPr>
        <w:t xml:space="preserve">підакцизних товарів </w:t>
      </w:r>
      <w:r>
        <w:rPr>
          <w:sz w:val="28"/>
          <w:szCs w:val="28"/>
          <w:lang w:val="uk-UA"/>
        </w:rPr>
        <w:t xml:space="preserve">очікуване виконання становитиме лише </w:t>
      </w:r>
      <w:r w:rsidRPr="004D7BA4">
        <w:rPr>
          <w:sz w:val="28"/>
          <w:szCs w:val="28"/>
          <w:lang w:val="uk-UA"/>
        </w:rPr>
        <w:t>18,5</w:t>
      </w:r>
      <w:r w:rsidRPr="004D7BA4">
        <w:rPr>
          <w:sz w:val="28"/>
          <w:szCs w:val="28"/>
        </w:rPr>
        <w:t>%</w:t>
      </w:r>
      <w:r>
        <w:rPr>
          <w:sz w:val="28"/>
          <w:szCs w:val="28"/>
        </w:rPr>
        <w:t xml:space="preserve"> до бюджетних призначень</w:t>
      </w:r>
      <w:r>
        <w:rPr>
          <w:sz w:val="28"/>
          <w:szCs w:val="28"/>
          <w:lang w:val="uk-UA"/>
        </w:rPr>
        <w:t xml:space="preserve"> 2022 року які були спрогнозовані у сумі 4350,0 тис.грн.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(невиконання  -3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600,0 тис.грн.)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 xml:space="preserve">18,8 </w:t>
      </w:r>
      <w:r>
        <w:rPr>
          <w:sz w:val="28"/>
          <w:szCs w:val="28"/>
        </w:rPr>
        <w:t>до минулорічних надходжень (-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460,7 </w:t>
      </w:r>
      <w:r>
        <w:rPr>
          <w:sz w:val="28"/>
          <w:szCs w:val="28"/>
        </w:rPr>
        <w:t>тис. грн</w:t>
      </w:r>
      <w:r w:rsidRPr="00E13E27">
        <w:rPr>
          <w:sz w:val="28"/>
          <w:szCs w:val="28"/>
        </w:rPr>
        <w:t xml:space="preserve">.). </w:t>
      </w:r>
    </w:p>
    <w:p w:rsidR="001117BE" w:rsidRDefault="001117BE" w:rsidP="001117BE">
      <w:pPr>
        <w:ind w:firstLine="720"/>
        <w:jc w:val="both"/>
        <w:rPr>
          <w:sz w:val="28"/>
          <w:szCs w:val="28"/>
          <w:lang w:val="uk-UA"/>
        </w:rPr>
      </w:pPr>
      <w:r w:rsidRPr="0089362F">
        <w:rPr>
          <w:sz w:val="28"/>
          <w:szCs w:val="28"/>
          <w:lang w:val="uk-UA"/>
        </w:rPr>
        <w:t>Заборона на продаж алкоголю вплинула</w:t>
      </w:r>
      <w:r>
        <w:rPr>
          <w:sz w:val="28"/>
          <w:szCs w:val="28"/>
          <w:lang w:val="uk-UA"/>
        </w:rPr>
        <w:t xml:space="preserve"> також </w:t>
      </w:r>
      <w:r w:rsidRPr="0089362F">
        <w:rPr>
          <w:sz w:val="28"/>
          <w:szCs w:val="28"/>
          <w:lang w:val="uk-UA"/>
        </w:rPr>
        <w:t xml:space="preserve">на надходження акцизного податку з реалізації суб’єктами господарювання роздрібної торгівлі підакцизних товарів, що призвело до </w:t>
      </w:r>
      <w:r>
        <w:rPr>
          <w:sz w:val="28"/>
          <w:szCs w:val="28"/>
          <w:lang w:val="uk-UA"/>
        </w:rPr>
        <w:t xml:space="preserve">суттєвого </w:t>
      </w:r>
      <w:r w:rsidRPr="0089362F">
        <w:rPr>
          <w:sz w:val="28"/>
          <w:szCs w:val="28"/>
          <w:lang w:val="uk-UA"/>
        </w:rPr>
        <w:t xml:space="preserve">зменшення </w:t>
      </w:r>
      <w:r>
        <w:rPr>
          <w:sz w:val="28"/>
          <w:szCs w:val="28"/>
          <w:lang w:val="uk-UA"/>
        </w:rPr>
        <w:t>податку у звітному періоді очікуване невиконання до кінця року становитиме понад 600,0 тис.грн..</w:t>
      </w:r>
      <w:r w:rsidRPr="0089362F">
        <w:rPr>
          <w:sz w:val="28"/>
          <w:szCs w:val="28"/>
          <w:lang w:val="uk-UA"/>
        </w:rPr>
        <w:t xml:space="preserve"> </w:t>
      </w:r>
    </w:p>
    <w:p w:rsidR="001117BE" w:rsidRPr="00711E96" w:rsidRDefault="001117BE" w:rsidP="001117B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Плановий показник за звітний період на земельний податок та орендну плату з фізичних осіб становить 2278,0 тис.грн., очікуване невиконання понад 1500,0 тис.грн.). Причиною невиконання є те, що контролюючим органом платникам не вручені повідомлення-рішення про сплату податку на земельний податок та орендну плату з фізичних осіб, у термін визначений податковим законодавством до 01липня.</w:t>
      </w:r>
    </w:p>
    <w:p w:rsidR="001117BE" w:rsidRDefault="001117BE" w:rsidP="001117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Очікуване невиконання від платників спрощеної системи оподаткування, що обрали І, ІІ та ІІІ групу єдиного податку- біля 2500,0 тис.грн.</w:t>
      </w:r>
    </w:p>
    <w:p w:rsidR="001117BE" w:rsidRDefault="001117BE" w:rsidP="001117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Дохідна частина бюджету територіальної громади сформована відповідно до статей 64 та 69.1 Бюджетного кодексу України, якими визначено перелік доходів, що зараховуються до бюджету громади. </w:t>
      </w:r>
    </w:p>
    <w:p w:rsidR="001117BE" w:rsidRPr="008B4473" w:rsidRDefault="009E7D36" w:rsidP="009D07A0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ED785F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6524625" cy="56292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117BE" w:rsidRPr="006959FD">
        <w:rPr>
          <w:bCs/>
          <w:sz w:val="28"/>
          <w:szCs w:val="28"/>
          <w:lang w:val="uk-UA"/>
        </w:rPr>
        <w:t>Основним</w:t>
      </w:r>
      <w:r w:rsidR="001117BE" w:rsidRPr="006959FD">
        <w:rPr>
          <w:sz w:val="28"/>
          <w:szCs w:val="28"/>
        </w:rPr>
        <w:t xml:space="preserve"> </w:t>
      </w:r>
      <w:r w:rsidR="001117BE" w:rsidRPr="006959FD">
        <w:rPr>
          <w:sz w:val="28"/>
          <w:szCs w:val="28"/>
          <w:lang w:val="uk-UA"/>
        </w:rPr>
        <w:t>джерелом</w:t>
      </w:r>
      <w:r w:rsidR="001117BE" w:rsidRPr="006959FD">
        <w:rPr>
          <w:sz w:val="28"/>
          <w:szCs w:val="28"/>
        </w:rPr>
        <w:t xml:space="preserve"> </w:t>
      </w:r>
      <w:r w:rsidR="001117BE" w:rsidRPr="006959FD">
        <w:rPr>
          <w:sz w:val="28"/>
          <w:szCs w:val="28"/>
          <w:lang w:val="uk-UA"/>
        </w:rPr>
        <w:t>надходжень</w:t>
      </w:r>
      <w:r w:rsidR="001117BE" w:rsidRPr="006959FD">
        <w:rPr>
          <w:sz w:val="28"/>
          <w:szCs w:val="28"/>
        </w:rPr>
        <w:t xml:space="preserve"> </w:t>
      </w:r>
      <w:r w:rsidR="001117BE" w:rsidRPr="006959FD">
        <w:rPr>
          <w:sz w:val="28"/>
          <w:szCs w:val="28"/>
          <w:lang w:val="uk-UA"/>
        </w:rPr>
        <w:t>загального</w:t>
      </w:r>
      <w:r w:rsidR="001117BE" w:rsidRPr="006959FD">
        <w:rPr>
          <w:sz w:val="28"/>
          <w:szCs w:val="28"/>
        </w:rPr>
        <w:t xml:space="preserve"> фонду є </w:t>
      </w:r>
      <w:r w:rsidR="001117BE" w:rsidRPr="006959FD">
        <w:rPr>
          <w:bCs/>
          <w:sz w:val="28"/>
          <w:szCs w:val="28"/>
          <w:lang w:val="uk-UA"/>
        </w:rPr>
        <w:t>податок</w:t>
      </w:r>
      <w:r w:rsidR="001117BE" w:rsidRPr="006959FD">
        <w:rPr>
          <w:bCs/>
          <w:sz w:val="28"/>
          <w:szCs w:val="28"/>
        </w:rPr>
        <w:t xml:space="preserve"> та </w:t>
      </w:r>
      <w:r w:rsidR="001117BE" w:rsidRPr="006959FD">
        <w:rPr>
          <w:bCs/>
          <w:sz w:val="28"/>
          <w:szCs w:val="28"/>
          <w:lang w:val="uk-UA"/>
        </w:rPr>
        <w:t>збір</w:t>
      </w:r>
      <w:r w:rsidR="001117BE" w:rsidRPr="006959FD">
        <w:rPr>
          <w:bCs/>
          <w:sz w:val="28"/>
          <w:szCs w:val="28"/>
        </w:rPr>
        <w:t xml:space="preserve"> на доходи </w:t>
      </w:r>
      <w:r w:rsidR="001117BE" w:rsidRPr="006959FD">
        <w:rPr>
          <w:bCs/>
          <w:sz w:val="28"/>
          <w:szCs w:val="28"/>
          <w:lang w:val="uk-UA"/>
        </w:rPr>
        <w:t>фізичних</w:t>
      </w:r>
      <w:r w:rsidR="001117BE" w:rsidRPr="006959FD">
        <w:rPr>
          <w:bCs/>
          <w:sz w:val="28"/>
          <w:szCs w:val="28"/>
        </w:rPr>
        <w:t xml:space="preserve"> </w:t>
      </w:r>
      <w:r w:rsidR="001117BE" w:rsidRPr="006959FD">
        <w:rPr>
          <w:bCs/>
          <w:sz w:val="28"/>
          <w:szCs w:val="28"/>
          <w:lang w:val="uk-UA"/>
        </w:rPr>
        <w:t>осіб</w:t>
      </w:r>
      <w:r w:rsidR="001117BE" w:rsidRPr="006959FD">
        <w:rPr>
          <w:sz w:val="28"/>
          <w:szCs w:val="28"/>
        </w:rPr>
        <w:t xml:space="preserve">, </w:t>
      </w:r>
      <w:r w:rsidR="001117BE" w:rsidRPr="006959FD">
        <w:rPr>
          <w:sz w:val="28"/>
          <w:szCs w:val="28"/>
          <w:lang w:val="uk-UA"/>
        </w:rPr>
        <w:t>що</w:t>
      </w:r>
      <w:r w:rsidR="001117BE" w:rsidRPr="006959FD">
        <w:rPr>
          <w:sz w:val="28"/>
          <w:szCs w:val="28"/>
        </w:rPr>
        <w:t xml:space="preserve"> становить </w:t>
      </w:r>
      <w:r w:rsidR="001117BE">
        <w:rPr>
          <w:sz w:val="28"/>
          <w:szCs w:val="28"/>
          <w:lang w:val="uk-UA"/>
        </w:rPr>
        <w:t>53,1</w:t>
      </w:r>
      <w:r w:rsidR="001117BE" w:rsidRPr="006959FD">
        <w:rPr>
          <w:bCs/>
          <w:sz w:val="28"/>
          <w:szCs w:val="28"/>
        </w:rPr>
        <w:t>%</w:t>
      </w:r>
      <w:r w:rsidR="001117BE" w:rsidRPr="006959FD">
        <w:rPr>
          <w:sz w:val="28"/>
          <w:szCs w:val="28"/>
        </w:rPr>
        <w:t xml:space="preserve"> </w:t>
      </w:r>
      <w:r w:rsidR="001117BE" w:rsidRPr="006959FD">
        <w:rPr>
          <w:sz w:val="28"/>
          <w:szCs w:val="28"/>
          <w:lang w:val="uk-UA"/>
        </w:rPr>
        <w:t>від</w:t>
      </w:r>
      <w:r w:rsidR="001117BE" w:rsidRPr="006959FD">
        <w:rPr>
          <w:sz w:val="28"/>
          <w:szCs w:val="28"/>
        </w:rPr>
        <w:t xml:space="preserve"> </w:t>
      </w:r>
      <w:r w:rsidR="001117BE" w:rsidRPr="006959FD">
        <w:rPr>
          <w:bCs/>
          <w:sz w:val="28"/>
          <w:szCs w:val="28"/>
        </w:rPr>
        <w:t>прогнозного</w:t>
      </w:r>
      <w:r w:rsidR="001117BE" w:rsidRPr="006959FD">
        <w:rPr>
          <w:sz w:val="28"/>
          <w:szCs w:val="28"/>
        </w:rPr>
        <w:t xml:space="preserve"> </w:t>
      </w:r>
      <w:r w:rsidR="001117BE" w:rsidRPr="006959FD">
        <w:rPr>
          <w:sz w:val="28"/>
          <w:szCs w:val="28"/>
          <w:lang w:val="uk-UA"/>
        </w:rPr>
        <w:t>показника</w:t>
      </w:r>
      <w:r w:rsidR="001117BE" w:rsidRPr="006959FD">
        <w:rPr>
          <w:sz w:val="28"/>
          <w:szCs w:val="28"/>
        </w:rPr>
        <w:t xml:space="preserve"> </w:t>
      </w:r>
      <w:r w:rsidR="001117BE" w:rsidRPr="006959FD">
        <w:rPr>
          <w:bCs/>
          <w:sz w:val="28"/>
          <w:szCs w:val="28"/>
          <w:lang w:val="uk-UA"/>
        </w:rPr>
        <w:t>доходів</w:t>
      </w:r>
      <w:r w:rsidR="001117BE" w:rsidRPr="006959FD">
        <w:rPr>
          <w:bCs/>
          <w:sz w:val="28"/>
          <w:szCs w:val="28"/>
        </w:rPr>
        <w:t xml:space="preserve"> </w:t>
      </w:r>
      <w:r w:rsidR="001117BE">
        <w:rPr>
          <w:bCs/>
          <w:sz w:val="28"/>
          <w:szCs w:val="28"/>
          <w:lang w:val="uk-UA"/>
        </w:rPr>
        <w:t xml:space="preserve"> </w:t>
      </w:r>
      <w:r w:rsidR="001117BE" w:rsidRPr="006959FD">
        <w:rPr>
          <w:sz w:val="28"/>
          <w:szCs w:val="28"/>
          <w:lang w:val="uk-UA"/>
        </w:rPr>
        <w:t>загального</w:t>
      </w:r>
      <w:r w:rsidR="001117BE" w:rsidRPr="006959FD">
        <w:rPr>
          <w:sz w:val="28"/>
          <w:szCs w:val="28"/>
        </w:rPr>
        <w:t xml:space="preserve"> фонду </w:t>
      </w:r>
      <w:r w:rsidR="001117BE" w:rsidRPr="006959FD">
        <w:rPr>
          <w:bCs/>
          <w:sz w:val="28"/>
          <w:szCs w:val="28"/>
        </w:rPr>
        <w:t>202</w:t>
      </w:r>
      <w:r w:rsidR="001117BE">
        <w:rPr>
          <w:bCs/>
          <w:sz w:val="28"/>
          <w:szCs w:val="28"/>
          <w:lang w:val="uk-UA"/>
        </w:rPr>
        <w:t>3</w:t>
      </w:r>
      <w:r w:rsidR="001117BE" w:rsidRPr="006959FD">
        <w:rPr>
          <w:bCs/>
          <w:sz w:val="28"/>
          <w:szCs w:val="28"/>
        </w:rPr>
        <w:t xml:space="preserve"> року</w:t>
      </w:r>
      <w:r w:rsidR="001117BE" w:rsidRPr="006959FD">
        <w:rPr>
          <w:sz w:val="28"/>
          <w:szCs w:val="28"/>
        </w:rPr>
        <w:t>.</w:t>
      </w:r>
    </w:p>
    <w:p w:rsidR="001117BE" w:rsidRPr="00D071C4" w:rsidRDefault="001117BE" w:rsidP="001117BE">
      <w:pPr>
        <w:tabs>
          <w:tab w:val="left" w:pos="0"/>
        </w:tabs>
        <w:ind w:firstLine="709"/>
        <w:jc w:val="both"/>
        <w:rPr>
          <w:rFonts w:eastAsia="MS Mincho"/>
          <w:sz w:val="28"/>
          <w:szCs w:val="28"/>
          <w:lang w:val="uk-UA"/>
        </w:rPr>
      </w:pPr>
      <w:r w:rsidRPr="008B4473">
        <w:rPr>
          <w:noProof/>
          <w:sz w:val="28"/>
          <w:szCs w:val="28"/>
          <w:lang w:val="uk-UA"/>
        </w:rPr>
        <w:t>Прогнозні надходження податку на доходи фізичних осіб на 202</w:t>
      </w:r>
      <w:r>
        <w:rPr>
          <w:noProof/>
          <w:sz w:val="28"/>
          <w:szCs w:val="28"/>
          <w:lang w:val="uk-UA"/>
        </w:rPr>
        <w:t>3</w:t>
      </w:r>
      <w:r w:rsidRPr="008B4473">
        <w:rPr>
          <w:noProof/>
          <w:sz w:val="28"/>
          <w:szCs w:val="28"/>
          <w:lang w:val="uk-UA"/>
        </w:rPr>
        <w:t xml:space="preserve"> рік визначені відповідно до І</w:t>
      </w:r>
      <w:r w:rsidRPr="008B4473">
        <w:rPr>
          <w:noProof/>
          <w:sz w:val="28"/>
          <w:szCs w:val="28"/>
          <w:lang w:val="en-US"/>
        </w:rPr>
        <w:t>V</w:t>
      </w:r>
      <w:r w:rsidRPr="008B4473">
        <w:rPr>
          <w:noProof/>
          <w:sz w:val="28"/>
          <w:szCs w:val="28"/>
          <w:lang w:val="uk-UA"/>
        </w:rPr>
        <w:t xml:space="preserve"> розділу</w:t>
      </w:r>
      <w:r w:rsidRPr="00645D35">
        <w:rPr>
          <w:noProof/>
          <w:sz w:val="28"/>
          <w:szCs w:val="28"/>
          <w:lang w:val="uk-UA"/>
        </w:rPr>
        <w:t xml:space="preserve"> Податкового кодексу України, </w:t>
      </w:r>
      <w:r>
        <w:rPr>
          <w:noProof/>
          <w:sz w:val="28"/>
          <w:szCs w:val="28"/>
          <w:lang w:val="uk-UA"/>
        </w:rPr>
        <w:t xml:space="preserve">проєкту </w:t>
      </w:r>
      <w:r w:rsidRPr="00645D35">
        <w:rPr>
          <w:noProof/>
          <w:sz w:val="28"/>
          <w:szCs w:val="28"/>
          <w:lang w:val="uk-UA"/>
        </w:rPr>
        <w:t>Закону України "Про Державний бюжет України на 20</w:t>
      </w:r>
      <w:r>
        <w:rPr>
          <w:noProof/>
          <w:sz w:val="28"/>
          <w:szCs w:val="28"/>
          <w:lang w:val="uk-UA"/>
        </w:rPr>
        <w:t>23</w:t>
      </w:r>
      <w:r w:rsidRPr="00645D35">
        <w:rPr>
          <w:noProof/>
          <w:sz w:val="28"/>
          <w:szCs w:val="28"/>
          <w:lang w:val="uk-UA"/>
        </w:rPr>
        <w:t xml:space="preserve"> рік" та Бюджетного кодексу України</w:t>
      </w:r>
      <w:r>
        <w:rPr>
          <w:noProof/>
          <w:sz w:val="28"/>
          <w:szCs w:val="28"/>
          <w:lang w:val="uk-UA"/>
        </w:rPr>
        <w:t>.</w:t>
      </w:r>
      <w:r w:rsidRPr="00645D35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</w:t>
      </w:r>
      <w:r w:rsidRPr="003D4C38">
        <w:rPr>
          <w:bCs/>
          <w:sz w:val="28"/>
          <w:szCs w:val="28"/>
          <w:lang w:val="uk-UA"/>
        </w:rPr>
        <w:t>одат</w:t>
      </w:r>
      <w:r>
        <w:rPr>
          <w:bCs/>
          <w:sz w:val="28"/>
          <w:szCs w:val="28"/>
          <w:lang w:val="uk-UA"/>
        </w:rPr>
        <w:t>ок</w:t>
      </w:r>
      <w:r w:rsidRPr="003D4C38">
        <w:rPr>
          <w:bCs/>
          <w:sz w:val="28"/>
          <w:szCs w:val="28"/>
          <w:lang w:val="uk-UA"/>
        </w:rPr>
        <w:t xml:space="preserve"> на доходи фізичних осіб</w:t>
      </w:r>
      <w:r w:rsidRPr="00670D6D">
        <w:rPr>
          <w:i/>
          <w:sz w:val="28"/>
          <w:szCs w:val="28"/>
          <w:lang w:val="uk-UA"/>
        </w:rPr>
        <w:t xml:space="preserve"> </w:t>
      </w:r>
      <w:r w:rsidRPr="00670D6D">
        <w:rPr>
          <w:iCs/>
          <w:sz w:val="28"/>
          <w:szCs w:val="28"/>
          <w:lang w:val="uk-UA"/>
        </w:rPr>
        <w:t>розрахований із урахуванням прогнозного обсягу фонду оплати праці,</w:t>
      </w:r>
      <w:r w:rsidRPr="00670D6D">
        <w:rPr>
          <w:sz w:val="28"/>
          <w:szCs w:val="28"/>
          <w:lang w:val="uk-UA"/>
        </w:rPr>
        <w:t xml:space="preserve"> </w:t>
      </w:r>
      <w:r w:rsidRPr="00670D6D">
        <w:rPr>
          <w:iCs/>
          <w:sz w:val="28"/>
          <w:szCs w:val="28"/>
          <w:lang w:val="uk-UA"/>
        </w:rPr>
        <w:t xml:space="preserve">бази та ставок оподаткування доходів фізичних осіб, </w:t>
      </w:r>
      <w:r w:rsidRPr="00645D35">
        <w:rPr>
          <w:sz w:val="28"/>
          <w:szCs w:val="28"/>
          <w:lang w:val="uk-UA"/>
        </w:rPr>
        <w:t>врахована динаміка надходжень зазначеного податку у минулі роки, а також</w:t>
      </w:r>
      <w:r w:rsidRPr="00670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очікувані</w:t>
      </w:r>
      <w:r w:rsidRPr="00645D35">
        <w:rPr>
          <w:sz w:val="28"/>
          <w:szCs w:val="28"/>
          <w:lang w:val="uk-UA"/>
        </w:rPr>
        <w:t xml:space="preserve"> надходження 20</w:t>
      </w:r>
      <w:r>
        <w:rPr>
          <w:sz w:val="28"/>
          <w:szCs w:val="28"/>
          <w:lang w:val="uk-UA"/>
        </w:rPr>
        <w:t>22</w:t>
      </w:r>
      <w:r w:rsidRPr="00645D35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. </w:t>
      </w:r>
    </w:p>
    <w:p w:rsidR="001117BE" w:rsidRDefault="001117BE" w:rsidP="001117BE">
      <w:pPr>
        <w:pStyle w:val="60"/>
        <w:ind w:firstLine="709"/>
        <w:jc w:val="both"/>
        <w:rPr>
          <w:sz w:val="28"/>
          <w:szCs w:val="28"/>
          <w:lang w:val="uk-UA"/>
        </w:rPr>
      </w:pPr>
      <w:r w:rsidRPr="006B5050">
        <w:rPr>
          <w:sz w:val="28"/>
          <w:szCs w:val="28"/>
          <w:lang w:val="uk-UA"/>
        </w:rPr>
        <w:t xml:space="preserve">Чинниками, які впливатимуть на надходження податку на доходи фізичних осіб, є: </w:t>
      </w:r>
    </w:p>
    <w:p w:rsidR="001117BE" w:rsidRDefault="001117BE" w:rsidP="001117BE">
      <w:pPr>
        <w:pStyle w:val="60"/>
        <w:ind w:firstLine="709"/>
        <w:jc w:val="both"/>
        <w:rPr>
          <w:sz w:val="28"/>
          <w:szCs w:val="28"/>
          <w:lang w:val="uk-UA"/>
        </w:rPr>
      </w:pPr>
      <w:r w:rsidRPr="006B5050">
        <w:rPr>
          <w:sz w:val="28"/>
          <w:szCs w:val="28"/>
          <w:lang w:val="uk-UA"/>
        </w:rPr>
        <w:t>застосування єдиної ставки оподаткування доходів фізичних осіб (18%),</w:t>
      </w:r>
    </w:p>
    <w:p w:rsidR="001117BE" w:rsidRPr="00D071C4" w:rsidRDefault="001117BE" w:rsidP="001117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мінімальної заробітної плати з 01.01.2023 – 6700грн.</w:t>
      </w:r>
      <w:r w:rsidRPr="00D071C4">
        <w:rPr>
          <w:sz w:val="28"/>
          <w:szCs w:val="28"/>
          <w:lang w:val="uk-UA"/>
        </w:rPr>
        <w:t>;</w:t>
      </w:r>
    </w:p>
    <w:p w:rsidR="001117BE" w:rsidRPr="00BC2844" w:rsidRDefault="001117BE" w:rsidP="00111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посадовий оклад працівника 1 тарифного розряду -2893 грн.</w:t>
      </w:r>
      <w:r w:rsidRPr="00BC2844">
        <w:rPr>
          <w:sz w:val="28"/>
          <w:szCs w:val="28"/>
        </w:rPr>
        <w:t>;</w:t>
      </w:r>
    </w:p>
    <w:p w:rsidR="001117BE" w:rsidRDefault="001117BE" w:rsidP="001117BE">
      <w:pPr>
        <w:pStyle w:val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відповідно ст.64 Бюджетного кодексу України, якою передбачено встановлення відрахування 64% податку на доходи фізичних осіб, до місцевих бюджетів територіальних громад</w:t>
      </w:r>
      <w:r w:rsidRPr="00BC2844">
        <w:rPr>
          <w:sz w:val="28"/>
          <w:szCs w:val="28"/>
        </w:rPr>
        <w:t>;</w:t>
      </w:r>
    </w:p>
    <w:p w:rsidR="001117BE" w:rsidRDefault="001117BE" w:rsidP="001117BE">
      <w:pPr>
        <w:pStyle w:val="60"/>
        <w:ind w:firstLine="709"/>
        <w:jc w:val="both"/>
        <w:rPr>
          <w:sz w:val="28"/>
          <w:szCs w:val="28"/>
          <w:lang w:val="uk-UA"/>
        </w:rPr>
      </w:pPr>
      <w:r w:rsidRPr="006B5050">
        <w:rPr>
          <w:sz w:val="28"/>
          <w:szCs w:val="28"/>
          <w:lang w:val="uk-UA"/>
        </w:rPr>
        <w:t>легалізація виплати заробіт</w:t>
      </w:r>
      <w:r>
        <w:rPr>
          <w:sz w:val="28"/>
          <w:szCs w:val="28"/>
          <w:lang w:val="uk-UA"/>
        </w:rPr>
        <w:t>ної плати.</w:t>
      </w:r>
    </w:p>
    <w:p w:rsidR="001117BE" w:rsidRPr="00670D6D" w:rsidRDefault="001117BE" w:rsidP="001117BE">
      <w:pPr>
        <w:pStyle w:val="60"/>
        <w:ind w:firstLine="709"/>
        <w:jc w:val="both"/>
        <w:rPr>
          <w:lang w:val="uk-UA"/>
        </w:rPr>
      </w:pPr>
      <w:r w:rsidRPr="00670D6D">
        <w:rPr>
          <w:sz w:val="28"/>
          <w:szCs w:val="28"/>
          <w:lang w:val="uk-UA"/>
        </w:rPr>
        <w:t xml:space="preserve">Прогнозується, що </w:t>
      </w:r>
      <w:r w:rsidRPr="00DA0B4E">
        <w:rPr>
          <w:b/>
          <w:sz w:val="28"/>
          <w:szCs w:val="28"/>
          <w:lang w:val="uk-UA"/>
        </w:rPr>
        <w:t xml:space="preserve">обсяг податку на доходи фізичних осіб у 2023 році складе </w:t>
      </w:r>
      <w:r>
        <w:rPr>
          <w:b/>
          <w:sz w:val="28"/>
          <w:szCs w:val="28"/>
          <w:lang w:val="uk-UA"/>
        </w:rPr>
        <w:t>5</w:t>
      </w:r>
      <w:r w:rsidRPr="009C558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26</w:t>
      </w:r>
      <w:r w:rsidRPr="009C5582">
        <w:rPr>
          <w:b/>
          <w:sz w:val="28"/>
          <w:szCs w:val="28"/>
          <w:lang w:val="uk-UA"/>
        </w:rPr>
        <w:t>0,0</w:t>
      </w:r>
      <w:r w:rsidRPr="00670D6D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</w:t>
      </w:r>
      <w:r w:rsidRPr="00670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Pr="00670D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на 1,9%, або на 983,6 тис.грн. більше очікуваних надходжень 2022 року</w:t>
      </w:r>
      <w:r w:rsidRPr="00670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них:</w:t>
      </w:r>
    </w:p>
    <w:p w:rsidR="001117BE" w:rsidRDefault="001117BE" w:rsidP="001117BE">
      <w:pPr>
        <w:pStyle w:val="a5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0D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70D6D">
        <w:rPr>
          <w:sz w:val="28"/>
          <w:szCs w:val="28"/>
        </w:rPr>
        <w:t xml:space="preserve">одатку на доходи фізичних осіб, що сплачується податковими агентами, із доходів платника податку у вигляді заробітної плати прогнозується отримати </w:t>
      </w:r>
      <w:r>
        <w:rPr>
          <w:sz w:val="28"/>
          <w:szCs w:val="28"/>
        </w:rPr>
        <w:t>39260,0 тис.грн. Ріст надходжень 2023 року становить 2,0 % до очікуваного показника 2022 року(+768,6 тис.грн.);</w:t>
      </w:r>
    </w:p>
    <w:p w:rsidR="001117BE" w:rsidRDefault="001117BE" w:rsidP="001117BE">
      <w:pPr>
        <w:pStyle w:val="a5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податку на доходи з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 – 55</w:t>
      </w:r>
      <w:r>
        <w:rPr>
          <w:sz w:val="28"/>
          <w:szCs w:val="28"/>
          <w:lang w:val="ru-RU"/>
        </w:rPr>
        <w:t xml:space="preserve">00,0 </w:t>
      </w:r>
      <w:r>
        <w:rPr>
          <w:sz w:val="28"/>
          <w:szCs w:val="28"/>
        </w:rPr>
        <w:t>тис.грн.;</w:t>
      </w:r>
    </w:p>
    <w:p w:rsidR="001117BE" w:rsidRPr="00670D6D" w:rsidRDefault="001117BE" w:rsidP="001117BE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70D6D">
        <w:rPr>
          <w:sz w:val="28"/>
          <w:szCs w:val="28"/>
        </w:rPr>
        <w:t xml:space="preserve">податку на доходи фізичних осіб, що сплачується фізичними особами за результатами річного декларування – </w:t>
      </w:r>
      <w:r>
        <w:rPr>
          <w:sz w:val="28"/>
          <w:szCs w:val="28"/>
          <w:lang w:val="ru-RU"/>
        </w:rPr>
        <w:t>300</w:t>
      </w:r>
      <w:r>
        <w:rPr>
          <w:sz w:val="28"/>
          <w:szCs w:val="28"/>
        </w:rPr>
        <w:t xml:space="preserve"> </w:t>
      </w:r>
      <w:r w:rsidRPr="00670D6D">
        <w:rPr>
          <w:sz w:val="28"/>
          <w:szCs w:val="28"/>
        </w:rPr>
        <w:t>тис.грн.</w:t>
      </w:r>
      <w:r>
        <w:rPr>
          <w:sz w:val="28"/>
          <w:szCs w:val="28"/>
        </w:rPr>
        <w:t>;</w:t>
      </w:r>
      <w:r w:rsidRPr="00670D6D">
        <w:rPr>
          <w:sz w:val="28"/>
          <w:szCs w:val="28"/>
        </w:rPr>
        <w:t xml:space="preserve"> </w:t>
      </w:r>
    </w:p>
    <w:p w:rsidR="001117BE" w:rsidRDefault="001117BE" w:rsidP="001117BE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70D6D">
        <w:rPr>
          <w:sz w:val="28"/>
          <w:szCs w:val="28"/>
        </w:rPr>
        <w:t>одатк</w:t>
      </w:r>
      <w:r>
        <w:rPr>
          <w:sz w:val="28"/>
          <w:szCs w:val="28"/>
        </w:rPr>
        <w:t>у</w:t>
      </w:r>
      <w:r w:rsidRPr="00670D6D">
        <w:rPr>
          <w:sz w:val="28"/>
          <w:szCs w:val="28"/>
        </w:rPr>
        <w:t xml:space="preserve"> на доходи фізичних осіб, що сплачується податковими агентами із доходів платника податку інших ніж заробітна плата  визначено в сумі </w:t>
      </w:r>
      <w:r>
        <w:rPr>
          <w:sz w:val="28"/>
          <w:szCs w:val="28"/>
        </w:rPr>
        <w:t>82</w:t>
      </w:r>
      <w:r>
        <w:rPr>
          <w:sz w:val="28"/>
          <w:szCs w:val="28"/>
          <w:lang w:val="ru-RU"/>
        </w:rPr>
        <w:t>00,0</w:t>
      </w:r>
      <w:r w:rsidRPr="00670D6D">
        <w:rPr>
          <w:sz w:val="28"/>
          <w:szCs w:val="28"/>
        </w:rPr>
        <w:t xml:space="preserve"> </w:t>
      </w:r>
      <w:r>
        <w:rPr>
          <w:sz w:val="28"/>
          <w:szCs w:val="28"/>
        </w:rPr>
        <w:t>тис</w:t>
      </w:r>
      <w:r w:rsidRPr="00670D6D">
        <w:rPr>
          <w:sz w:val="28"/>
          <w:szCs w:val="28"/>
        </w:rPr>
        <w:t>.грн.</w:t>
      </w:r>
      <w:r w:rsidRPr="00620E2C">
        <w:t xml:space="preserve"> </w:t>
      </w:r>
      <w:r>
        <w:t xml:space="preserve"> </w:t>
      </w:r>
      <w:r w:rsidRPr="00620E2C">
        <w:rPr>
          <w:sz w:val="28"/>
          <w:szCs w:val="28"/>
        </w:rPr>
        <w:t>та розраховано з урахуванням</w:t>
      </w:r>
      <w:r>
        <w:rPr>
          <w:sz w:val="28"/>
          <w:szCs w:val="28"/>
        </w:rPr>
        <w:t xml:space="preserve"> </w:t>
      </w:r>
      <w:r w:rsidRPr="00620E2C">
        <w:rPr>
          <w:sz w:val="28"/>
          <w:szCs w:val="28"/>
        </w:rPr>
        <w:t>сплати ПДФО від доходів за здавання фізичними особами в оренду</w:t>
      </w:r>
      <w:r>
        <w:rPr>
          <w:sz w:val="28"/>
          <w:szCs w:val="28"/>
        </w:rPr>
        <w:t xml:space="preserve"> </w:t>
      </w:r>
      <w:r w:rsidRPr="00620E2C">
        <w:rPr>
          <w:sz w:val="28"/>
          <w:szCs w:val="28"/>
        </w:rPr>
        <w:t>(суборенду, емфітевзис) земельних ділянок, земельних часток (паїв)</w:t>
      </w:r>
      <w:r>
        <w:rPr>
          <w:sz w:val="28"/>
          <w:szCs w:val="28"/>
        </w:rPr>
        <w:t xml:space="preserve"> </w:t>
      </w:r>
      <w:r w:rsidRPr="00620E2C">
        <w:rPr>
          <w:sz w:val="28"/>
          <w:szCs w:val="28"/>
        </w:rPr>
        <w:t>податковим агентом до відповідного бюджету за місцезнаходженням таких</w:t>
      </w:r>
      <w:r>
        <w:rPr>
          <w:sz w:val="28"/>
          <w:szCs w:val="28"/>
        </w:rPr>
        <w:t xml:space="preserve"> </w:t>
      </w:r>
      <w:r w:rsidRPr="00620E2C">
        <w:rPr>
          <w:sz w:val="28"/>
          <w:szCs w:val="28"/>
        </w:rPr>
        <w:t>об’єктів оренди.</w:t>
      </w:r>
    </w:p>
    <w:p w:rsidR="001117BE" w:rsidRPr="00390259" w:rsidRDefault="001117BE" w:rsidP="001117B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 w:rsidRPr="00390259">
        <w:rPr>
          <w:rFonts w:eastAsia="Calibri"/>
          <w:b/>
          <w:sz w:val="28"/>
          <w:szCs w:val="28"/>
          <w:lang w:val="uk-UA" w:eastAsia="en-US"/>
        </w:rPr>
        <w:t>Динаміка надходжень податку та збору на доходи фізичних осіб (тис.грн.)</w:t>
      </w:r>
    </w:p>
    <w:p w:rsidR="001117BE" w:rsidRPr="00F5648B" w:rsidRDefault="009E7D36" w:rsidP="001117BE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1233D5">
        <w:rPr>
          <w:rFonts w:ascii="Calibri" w:eastAsia="Calibri" w:hAnsi="Calibri"/>
          <w:noProof/>
          <w:sz w:val="22"/>
          <w:szCs w:val="22"/>
          <w:highlight w:val="yellow"/>
          <w:shd w:val="clear" w:color="auto" w:fill="548DD4"/>
        </w:rPr>
        <w:drawing>
          <wp:inline distT="0" distB="0" distL="0" distR="0">
            <wp:extent cx="5876925" cy="40005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17BE" w:rsidRDefault="001117BE" w:rsidP="001117BE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DA0B4E">
        <w:rPr>
          <w:b/>
          <w:sz w:val="28"/>
          <w:szCs w:val="28"/>
        </w:rPr>
        <w:lastRenderedPageBreak/>
        <w:t>Рентна плата за спеціальне використання лісових ресурсів</w:t>
      </w:r>
      <w:r>
        <w:rPr>
          <w:sz w:val="28"/>
          <w:szCs w:val="28"/>
        </w:rPr>
        <w:t xml:space="preserve"> спрогнозована у сумі </w:t>
      </w:r>
      <w:r>
        <w:rPr>
          <w:sz w:val="28"/>
          <w:szCs w:val="28"/>
          <w:lang w:val="ru-RU"/>
        </w:rPr>
        <w:t>600</w:t>
      </w:r>
      <w:r>
        <w:rPr>
          <w:sz w:val="28"/>
          <w:szCs w:val="28"/>
        </w:rPr>
        <w:t>,0 тис.грн., в т.ч. рентна плата за спеціальне використання лісових ресурсів у частині деревини, заготовленої в порядку рубок головного користування, яка зараховується до міського бюджету в розмірі 37%, у сумі 50</w:t>
      </w:r>
      <w:r>
        <w:rPr>
          <w:sz w:val="28"/>
          <w:szCs w:val="28"/>
          <w:lang w:val="ru-RU"/>
        </w:rPr>
        <w:t>0,0</w:t>
      </w:r>
      <w:r>
        <w:rPr>
          <w:sz w:val="28"/>
          <w:szCs w:val="28"/>
        </w:rPr>
        <w:t xml:space="preserve"> тис.грн., з урахуванням динаміки надходжень у 2022 році.</w:t>
      </w:r>
    </w:p>
    <w:p w:rsidR="001117BE" w:rsidRDefault="001117BE" w:rsidP="001117BE">
      <w:pPr>
        <w:pStyle w:val="a5"/>
        <w:spacing w:after="0"/>
        <w:ind w:left="0" w:firstLine="851"/>
        <w:jc w:val="both"/>
        <w:rPr>
          <w:sz w:val="28"/>
          <w:szCs w:val="28"/>
        </w:rPr>
      </w:pPr>
    </w:p>
    <w:p w:rsidR="001117BE" w:rsidRDefault="001117BE" w:rsidP="001117BE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DA0B4E">
        <w:rPr>
          <w:b/>
          <w:sz w:val="28"/>
          <w:szCs w:val="28"/>
        </w:rPr>
        <w:t>Рентна плата за користування надрами для видобування корисних копалин</w:t>
      </w:r>
      <w:r>
        <w:rPr>
          <w:sz w:val="28"/>
          <w:szCs w:val="28"/>
        </w:rPr>
        <w:t>, що зараховується в розмірі 5% до місцевих бюджетів,  спрогнозована у сумі 20,0 тис.грн.</w:t>
      </w:r>
    </w:p>
    <w:p w:rsidR="001117BE" w:rsidRDefault="001117BE" w:rsidP="001117BE">
      <w:pPr>
        <w:pStyle w:val="a5"/>
        <w:spacing w:after="0"/>
        <w:ind w:left="0" w:firstLine="851"/>
        <w:jc w:val="both"/>
        <w:rPr>
          <w:sz w:val="28"/>
          <w:szCs w:val="28"/>
        </w:rPr>
      </w:pPr>
    </w:p>
    <w:p w:rsidR="001117BE" w:rsidRDefault="001117BE" w:rsidP="001117BE">
      <w:pPr>
        <w:ind w:right="-2" w:firstLine="708"/>
        <w:contextualSpacing/>
        <w:jc w:val="both"/>
        <w:rPr>
          <w:sz w:val="28"/>
          <w:szCs w:val="28"/>
          <w:lang w:val="uk-UA"/>
        </w:rPr>
      </w:pPr>
      <w:r w:rsidRPr="00DA0B4E">
        <w:rPr>
          <w:sz w:val="28"/>
          <w:szCs w:val="28"/>
          <w:lang w:val="uk-UA"/>
        </w:rPr>
        <w:t xml:space="preserve">Складовими частинами </w:t>
      </w:r>
      <w:r w:rsidRPr="00DA0B4E">
        <w:rPr>
          <w:b/>
          <w:sz w:val="28"/>
          <w:szCs w:val="28"/>
          <w:lang w:val="uk-UA"/>
        </w:rPr>
        <w:t>акцизного податку</w:t>
      </w:r>
      <w:r w:rsidRPr="00DA0B4E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>:</w:t>
      </w:r>
    </w:p>
    <w:p w:rsidR="001117BE" w:rsidRDefault="001117BE" w:rsidP="001117BE">
      <w:pPr>
        <w:ind w:right="-2" w:firstLine="708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Pr="00DA0B4E">
        <w:rPr>
          <w:rFonts w:eastAsia="Calibri"/>
          <w:sz w:val="28"/>
          <w:szCs w:val="28"/>
          <w:lang w:val="uk-UA" w:eastAsia="en-US"/>
        </w:rPr>
        <w:t xml:space="preserve">акцизний податок з реалізації суб'єктами господарювання роздрібної торгівлі підакцизних товарів (далі – акцизний податок з реалізації суб'єктами господарювання роздрібної торгівлі алкоголю), </w:t>
      </w:r>
    </w:p>
    <w:p w:rsidR="001117BE" w:rsidRDefault="001117BE" w:rsidP="001117BE">
      <w:pPr>
        <w:ind w:right="-2" w:firstLine="708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Pr="00DA0B4E">
        <w:rPr>
          <w:rFonts w:eastAsia="Calibri"/>
          <w:sz w:val="28"/>
          <w:szCs w:val="28"/>
          <w:lang w:val="uk-UA" w:eastAsia="en-US"/>
        </w:rPr>
        <w:t xml:space="preserve"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 (далі – акцизний податок з реалізації виробниками та/або імпортерами тютюну) </w:t>
      </w:r>
    </w:p>
    <w:p w:rsidR="001117BE" w:rsidRPr="00DA0B4E" w:rsidRDefault="001117BE" w:rsidP="001117BE">
      <w:pPr>
        <w:ind w:right="-2"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Pr="00DA0B4E">
        <w:rPr>
          <w:rFonts w:eastAsia="Calibri"/>
          <w:sz w:val="28"/>
          <w:szCs w:val="28"/>
          <w:lang w:val="uk-UA" w:eastAsia="en-US"/>
        </w:rPr>
        <w:t xml:space="preserve">акцизний податок з виробленого та ввезеного на митну територію </w:t>
      </w:r>
      <w:r w:rsidRPr="00DA0B4E">
        <w:rPr>
          <w:rFonts w:eastAsia="Calibri"/>
          <w:sz w:val="28"/>
          <w:szCs w:val="28"/>
          <w:lang w:eastAsia="en-US"/>
        </w:rPr>
        <w:t>України пального.</w:t>
      </w:r>
    </w:p>
    <w:p w:rsidR="001117BE" w:rsidRPr="00DA0B4E" w:rsidRDefault="001117BE" w:rsidP="001117BE">
      <w:pPr>
        <w:tabs>
          <w:tab w:val="left" w:pos="0"/>
        </w:tabs>
        <w:ind w:firstLine="709"/>
        <w:jc w:val="both"/>
        <w:rPr>
          <w:rStyle w:val="aff"/>
          <w:b w:val="0"/>
          <w:spacing w:val="-4"/>
          <w:sz w:val="28"/>
          <w:szCs w:val="28"/>
          <w:bdr w:val="none" w:sz="0" w:space="0" w:color="auto" w:frame="1"/>
          <w:lang w:val="uk-UA"/>
        </w:rPr>
      </w:pPr>
      <w:r w:rsidRPr="00DA0B4E">
        <w:rPr>
          <w:sz w:val="28"/>
          <w:szCs w:val="28"/>
          <w:lang w:val="uk-UA"/>
        </w:rPr>
        <w:t xml:space="preserve">У бюджеті на 2023 рік </w:t>
      </w:r>
      <w:r w:rsidRPr="00DA0B4E">
        <w:rPr>
          <w:b/>
          <w:sz w:val="28"/>
          <w:szCs w:val="28"/>
          <w:lang w:val="uk-UA"/>
        </w:rPr>
        <w:t xml:space="preserve">акцизного податку на пальне </w:t>
      </w:r>
      <w:r w:rsidRPr="00DA0B4E">
        <w:rPr>
          <w:sz w:val="28"/>
          <w:szCs w:val="28"/>
          <w:lang w:val="uk-UA"/>
        </w:rPr>
        <w:t>(у складі внутрішніх податків на товари і послуги)</w:t>
      </w:r>
      <w:r>
        <w:rPr>
          <w:sz w:val="28"/>
          <w:szCs w:val="28"/>
          <w:lang w:val="uk-UA"/>
        </w:rPr>
        <w:t>, з врахуванням норм Закону України від 21.09.2022 №2618-ІХ «Про внесення змін до розділу ХХ «Перехідні положення» Податкового кодексу України щодо ставок акцизного податку у твердих сумах одиниці реалізованого товару,</w:t>
      </w:r>
      <w:r w:rsidRPr="00DA0B4E">
        <w:rPr>
          <w:b/>
          <w:sz w:val="28"/>
          <w:szCs w:val="28"/>
          <w:lang w:val="uk-UA"/>
        </w:rPr>
        <w:t xml:space="preserve"> </w:t>
      </w:r>
      <w:r w:rsidRPr="00DA0B4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у сумі 3830,0</w:t>
      </w:r>
      <w:r w:rsidRPr="00DA0B4E">
        <w:rPr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</w:t>
      </w:r>
      <w:r w:rsidRPr="00DA0B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DA0B4E">
        <w:rPr>
          <w:rStyle w:val="aff"/>
          <w:b w:val="0"/>
          <w:spacing w:val="-4"/>
          <w:sz w:val="28"/>
          <w:szCs w:val="28"/>
          <w:bdr w:val="none" w:sz="0" w:space="0" w:color="auto" w:frame="1"/>
          <w:lang w:val="uk-UA"/>
        </w:rPr>
        <w:t>бережена норма щодо зарахування частини (13,44 %) акцизного податку з виробленого в Україні  та  ввезеного на митну територію України пального до бюджетів місцевого самоврядування, яка була припинена у зв’язку з воєнним станом.</w:t>
      </w:r>
    </w:p>
    <w:p w:rsidR="001117BE" w:rsidRPr="00DA0B4E" w:rsidRDefault="001117BE" w:rsidP="001117BE">
      <w:pPr>
        <w:shd w:val="clear" w:color="auto" w:fill="FFFFFF"/>
        <w:ind w:firstLine="709"/>
        <w:jc w:val="both"/>
        <w:rPr>
          <w:rStyle w:val="aff"/>
          <w:b w:val="0"/>
          <w:spacing w:val="-4"/>
          <w:sz w:val="28"/>
          <w:szCs w:val="28"/>
          <w:bdr w:val="none" w:sz="0" w:space="0" w:color="auto" w:frame="1"/>
          <w:lang w:val="uk-UA"/>
        </w:rPr>
      </w:pPr>
      <w:r w:rsidRPr="00DA0B4E">
        <w:rPr>
          <w:sz w:val="28"/>
          <w:szCs w:val="28"/>
          <w:lang w:val="uk-UA"/>
        </w:rPr>
        <w:t xml:space="preserve">По акцизному податку </w:t>
      </w:r>
      <w:r w:rsidRPr="00DA0B4E">
        <w:rPr>
          <w:b/>
          <w:sz w:val="28"/>
          <w:szCs w:val="28"/>
          <w:lang w:val="uk-UA"/>
        </w:rPr>
        <w:t xml:space="preserve">з реалізації суб'єктами господарювання роздрібної торгівлі підакцизних товарів </w:t>
      </w:r>
      <w:r w:rsidRPr="00DA0B4E">
        <w:rPr>
          <w:sz w:val="28"/>
          <w:szCs w:val="28"/>
          <w:lang w:val="uk-UA"/>
        </w:rPr>
        <w:t xml:space="preserve">прогнозна сума складе </w:t>
      </w:r>
      <w:r>
        <w:rPr>
          <w:sz w:val="28"/>
          <w:szCs w:val="28"/>
          <w:lang w:val="uk-UA"/>
        </w:rPr>
        <w:t>12</w:t>
      </w:r>
      <w:r w:rsidRPr="00DA0B4E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>,0</w:t>
      </w:r>
      <w:r w:rsidRPr="00DA0B4E">
        <w:rPr>
          <w:sz w:val="28"/>
          <w:szCs w:val="28"/>
          <w:lang w:val="uk-UA"/>
        </w:rPr>
        <w:t xml:space="preserve"> тис. грн, на рівні цього року. </w:t>
      </w:r>
    </w:p>
    <w:p w:rsidR="001117BE" w:rsidRDefault="001117BE" w:rsidP="001117BE">
      <w:pPr>
        <w:ind w:firstLine="851"/>
        <w:jc w:val="both"/>
        <w:rPr>
          <w:sz w:val="28"/>
          <w:szCs w:val="28"/>
          <w:lang w:val="uk-UA"/>
        </w:rPr>
      </w:pPr>
    </w:p>
    <w:p w:rsidR="001117BE" w:rsidRPr="00D90436" w:rsidRDefault="001117BE" w:rsidP="001117BE">
      <w:pPr>
        <w:ind w:firstLine="851"/>
        <w:jc w:val="center"/>
        <w:rPr>
          <w:b/>
          <w:sz w:val="28"/>
          <w:szCs w:val="28"/>
          <w:lang w:val="uk-UA"/>
        </w:rPr>
      </w:pPr>
      <w:r w:rsidRPr="00D90436">
        <w:rPr>
          <w:b/>
          <w:sz w:val="28"/>
          <w:szCs w:val="28"/>
          <w:lang w:val="uk-UA"/>
        </w:rPr>
        <w:t>Місцеві податки та збори</w:t>
      </w:r>
    </w:p>
    <w:p w:rsidR="001117BE" w:rsidRDefault="001117BE" w:rsidP="001117B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Друге місце за обсягом надходжень  до загального фонду міського  бюджету належить місцевим податкам та зборам, питома вага яких становить 40,2%. </w:t>
      </w:r>
    </w:p>
    <w:p w:rsidR="001117BE" w:rsidRDefault="001117BE" w:rsidP="001117B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Ставки місцевих податків, що регламентують адміністрування податків, визначені рішенням Носівської міської ради від 16 червня 2021 року №215 «Про встановлення місцевих податків на території Носівської міської ради».</w:t>
      </w:r>
    </w:p>
    <w:p w:rsidR="001117BE" w:rsidRDefault="001117BE" w:rsidP="001117B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Розрахунок прогнозних надходжень місцевих податків і зборів на 2023 рік здійснено за видами податків відповідно до норм Податкового кодексу України та вищевказаного рішення міської ради. Прогнозна сума місцевих </w:t>
      </w:r>
      <w:r>
        <w:rPr>
          <w:sz w:val="28"/>
          <w:szCs w:val="28"/>
          <w:lang w:val="uk-UA"/>
        </w:rPr>
        <w:lastRenderedPageBreak/>
        <w:t xml:space="preserve">податків, що надходитимуть до територіальної громади у 2023 році становитиме </w:t>
      </w:r>
      <w:r w:rsidRPr="00AC519A">
        <w:rPr>
          <w:b/>
          <w:sz w:val="28"/>
          <w:szCs w:val="28"/>
          <w:lang w:val="uk-UA"/>
        </w:rPr>
        <w:t>40</w:t>
      </w:r>
      <w:r>
        <w:rPr>
          <w:b/>
          <w:sz w:val="28"/>
          <w:szCs w:val="28"/>
          <w:lang w:val="uk-UA"/>
        </w:rPr>
        <w:t> </w:t>
      </w:r>
      <w:r w:rsidRPr="00AC519A">
        <w:rPr>
          <w:b/>
          <w:sz w:val="28"/>
          <w:szCs w:val="28"/>
          <w:lang w:val="uk-UA"/>
        </w:rPr>
        <w:t>328,5 тис.грн</w:t>
      </w:r>
      <w:r>
        <w:rPr>
          <w:sz w:val="28"/>
          <w:szCs w:val="28"/>
          <w:lang w:val="uk-UA"/>
        </w:rPr>
        <w:t>.</w:t>
      </w:r>
    </w:p>
    <w:p w:rsidR="001117BE" w:rsidRPr="002F06D1" w:rsidRDefault="001117BE" w:rsidP="001117BE">
      <w:pPr>
        <w:ind w:firstLine="851"/>
        <w:jc w:val="both"/>
        <w:rPr>
          <w:sz w:val="28"/>
          <w:szCs w:val="28"/>
        </w:rPr>
      </w:pPr>
    </w:p>
    <w:p w:rsidR="001117BE" w:rsidRPr="000375AB" w:rsidRDefault="009E7D36" w:rsidP="001117BE">
      <w:pPr>
        <w:spacing w:after="200" w:line="276" w:lineRule="auto"/>
        <w:ind w:left="-567" w:firstLine="567"/>
        <w:rPr>
          <w:rFonts w:ascii="Calibri" w:eastAsia="Calibri" w:hAnsi="Calibri"/>
          <w:sz w:val="22"/>
          <w:szCs w:val="22"/>
          <w:lang w:eastAsia="en-US"/>
        </w:rPr>
      </w:pPr>
      <w:r w:rsidRPr="000375AB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229350" cy="36671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17BE" w:rsidRDefault="001117BE" w:rsidP="001117B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Обсяг надходжень по податку на нерухоме майно, відмінне від земельної ділянки розраховані відповідно до </w:t>
      </w:r>
      <w:r w:rsidRPr="009604F7">
        <w:rPr>
          <w:sz w:val="28"/>
          <w:szCs w:val="28"/>
        </w:rPr>
        <w:t>статті 266 розділу ХІІ</w:t>
      </w:r>
      <w:r>
        <w:rPr>
          <w:sz w:val="28"/>
          <w:szCs w:val="28"/>
        </w:rPr>
        <w:t xml:space="preserve"> Податкового кодексу. Розрахунки здійснені виходячи із кількості платників та ставок податку встановлених органами місцевого самоврядування та обраховані в обсязі </w:t>
      </w:r>
      <w:r>
        <w:rPr>
          <w:sz w:val="28"/>
          <w:szCs w:val="28"/>
          <w:lang w:val="ru-RU"/>
        </w:rPr>
        <w:t xml:space="preserve">3378,5 </w:t>
      </w:r>
      <w:r>
        <w:rPr>
          <w:sz w:val="28"/>
          <w:szCs w:val="28"/>
        </w:rPr>
        <w:t>тис.грн., з них:</w:t>
      </w:r>
    </w:p>
    <w:p w:rsidR="001117BE" w:rsidRDefault="001117BE" w:rsidP="001117B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податок на нерухоме майно, відмінне від земельної ділянки, сплаченої юридичними особами, які є власниками об’єктів житлової нерухомості прогнозується отримати </w:t>
      </w:r>
      <w:r w:rsidRPr="00A808A6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Pr="00A808A6">
        <w:rPr>
          <w:sz w:val="28"/>
          <w:szCs w:val="28"/>
        </w:rPr>
        <w:t>,5</w:t>
      </w:r>
      <w:r>
        <w:rPr>
          <w:sz w:val="28"/>
          <w:szCs w:val="28"/>
        </w:rPr>
        <w:t xml:space="preserve"> тис.грн, нежитлової – 2440,</w:t>
      </w:r>
      <w:r w:rsidRPr="00A808A6">
        <w:rPr>
          <w:sz w:val="28"/>
          <w:szCs w:val="28"/>
        </w:rPr>
        <w:t>0</w:t>
      </w:r>
      <w:r>
        <w:rPr>
          <w:sz w:val="28"/>
          <w:szCs w:val="28"/>
        </w:rPr>
        <w:t xml:space="preserve"> тис.грн. На прогнозний обсяг надходжень впливає збільшення розміру мінімальної заробітної плати , встановленої законом на 1 січня звітного (Податкового) року, за 1 кв.метр бази оподаткування.</w:t>
      </w:r>
    </w:p>
    <w:p w:rsidR="001117BE" w:rsidRDefault="001117BE" w:rsidP="001117B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податок на нерухоме майно, відмінне від земельної ділянки, сплаченої фізичними особами, які є власниками об’єктів житлової нерухомості розраховано у сумі 230,0 тис.грн, нежитлової – 630,0 тис.грн. </w:t>
      </w:r>
    </w:p>
    <w:p w:rsidR="001117BE" w:rsidRDefault="001117BE" w:rsidP="001117BE">
      <w:pPr>
        <w:pStyle w:val="a5"/>
        <w:tabs>
          <w:tab w:val="left" w:pos="993"/>
        </w:tabs>
        <w:ind w:left="0" w:firstLine="851"/>
        <w:jc w:val="both"/>
        <w:rPr>
          <w:bCs/>
          <w:iCs/>
          <w:sz w:val="28"/>
          <w:szCs w:val="28"/>
        </w:rPr>
      </w:pPr>
      <w:r w:rsidRPr="00BB279E">
        <w:rPr>
          <w:sz w:val="28"/>
          <w:szCs w:val="28"/>
        </w:rPr>
        <w:t>Прогнозні розрахунки надходжень плати за землю на 20</w:t>
      </w:r>
      <w:r>
        <w:rPr>
          <w:sz w:val="28"/>
          <w:szCs w:val="28"/>
        </w:rPr>
        <w:t>23</w:t>
      </w:r>
      <w:r w:rsidRPr="00BB279E">
        <w:rPr>
          <w:sz w:val="28"/>
          <w:szCs w:val="28"/>
        </w:rPr>
        <w:t xml:space="preserve"> рік здійснені на основі </w:t>
      </w:r>
      <w:r>
        <w:rPr>
          <w:sz w:val="28"/>
          <w:szCs w:val="28"/>
        </w:rPr>
        <w:t xml:space="preserve">Податкового кодексу. Виходячи із встановлених ставок земельного податку для юридичних та фізичних осіб, сум орендної плати згідно договорів оренди з юридичними та фізичними особами, та з врахуванням визначених законодавством пільг прогнозні надходження плати за землю обраховано в обсязі </w:t>
      </w:r>
      <w:r w:rsidRPr="00527F67">
        <w:rPr>
          <w:b/>
          <w:sz w:val="28"/>
          <w:szCs w:val="28"/>
        </w:rPr>
        <w:t>198</w:t>
      </w:r>
      <w:r>
        <w:rPr>
          <w:b/>
          <w:sz w:val="28"/>
          <w:szCs w:val="28"/>
        </w:rPr>
        <w:t>50</w:t>
      </w:r>
      <w:r w:rsidRPr="00527F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527F67">
        <w:rPr>
          <w:b/>
          <w:sz w:val="28"/>
          <w:szCs w:val="28"/>
          <w:lang w:val="ru-RU"/>
        </w:rPr>
        <w:t xml:space="preserve"> </w:t>
      </w:r>
      <w:r w:rsidRPr="00527F67">
        <w:rPr>
          <w:b/>
          <w:sz w:val="28"/>
          <w:szCs w:val="28"/>
        </w:rPr>
        <w:t>тис.грн.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</w:p>
    <w:p w:rsidR="001117BE" w:rsidRDefault="001117BE" w:rsidP="001117BE">
      <w:pPr>
        <w:spacing w:after="120"/>
        <w:ind w:firstLine="561"/>
        <w:jc w:val="center"/>
        <w:rPr>
          <w:rFonts w:eastAsia="MS Mincho"/>
          <w:b/>
          <w:sz w:val="28"/>
          <w:szCs w:val="28"/>
          <w:lang w:val="uk-UA"/>
        </w:rPr>
      </w:pPr>
    </w:p>
    <w:p w:rsidR="001117BE" w:rsidRPr="00E64B4C" w:rsidRDefault="001117BE" w:rsidP="001117BE">
      <w:pPr>
        <w:spacing w:after="120"/>
        <w:ind w:firstLine="561"/>
        <w:jc w:val="center"/>
        <w:rPr>
          <w:rFonts w:eastAsia="MS Mincho"/>
          <w:b/>
          <w:sz w:val="28"/>
          <w:szCs w:val="28"/>
        </w:rPr>
      </w:pPr>
      <w:r w:rsidRPr="00E64B4C">
        <w:rPr>
          <w:rFonts w:eastAsia="MS Mincho"/>
          <w:b/>
          <w:sz w:val="28"/>
          <w:szCs w:val="28"/>
          <w:lang w:val="uk-UA"/>
        </w:rPr>
        <w:lastRenderedPageBreak/>
        <w:t>Надходження плати за землю у розрізі платежів</w:t>
      </w:r>
      <w:r w:rsidRPr="00E64B4C">
        <w:rPr>
          <w:rFonts w:eastAsia="MS Mincho"/>
          <w:b/>
          <w:sz w:val="28"/>
          <w:szCs w:val="28"/>
        </w:rPr>
        <w:t xml:space="preserve"> </w:t>
      </w:r>
    </w:p>
    <w:tbl>
      <w:tblPr>
        <w:tblW w:w="8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1524"/>
        <w:gridCol w:w="1505"/>
        <w:gridCol w:w="1550"/>
        <w:gridCol w:w="1510"/>
      </w:tblGrid>
      <w:tr w:rsidR="001117BE" w:rsidRPr="00DC55B7" w:rsidTr="00C2348A">
        <w:trPr>
          <w:trHeight w:val="839"/>
          <w:jc w:val="center"/>
        </w:trPr>
        <w:tc>
          <w:tcPr>
            <w:tcW w:w="2304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1117BE" w:rsidRPr="00DC55B7" w:rsidRDefault="001117BE" w:rsidP="00C2348A">
            <w:pPr>
              <w:ind w:left="57" w:right="57"/>
              <w:jc w:val="center"/>
              <w:rPr>
                <w:rFonts w:eastAsia="Arial Unicode MS"/>
                <w:lang w:val="uk-UA"/>
              </w:rPr>
            </w:pPr>
            <w:r w:rsidRPr="00DC55B7">
              <w:rPr>
                <w:lang w:val="uk-UA"/>
              </w:rPr>
              <w:t>Назва податку</w:t>
            </w:r>
          </w:p>
        </w:tc>
        <w:tc>
          <w:tcPr>
            <w:tcW w:w="152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17BE" w:rsidRDefault="001117BE" w:rsidP="00C2348A">
            <w:pPr>
              <w:ind w:left="57" w:right="57"/>
              <w:jc w:val="center"/>
              <w:rPr>
                <w:lang w:val="uk-UA"/>
              </w:rPr>
            </w:pPr>
            <w:r w:rsidRPr="00DC55B7">
              <w:rPr>
                <w:lang w:val="uk-UA"/>
              </w:rPr>
              <w:t>Фактичні надходження</w:t>
            </w:r>
            <w:r>
              <w:rPr>
                <w:lang w:val="uk-UA"/>
              </w:rPr>
              <w:t xml:space="preserve"> 2021 рік </w:t>
            </w:r>
          </w:p>
          <w:p w:rsidR="001117BE" w:rsidRPr="00DC55B7" w:rsidRDefault="001117BE" w:rsidP="00C2348A">
            <w:pPr>
              <w:ind w:left="57" w:right="57"/>
              <w:jc w:val="center"/>
              <w:rPr>
                <w:rFonts w:eastAsia="Arial Unicode MS"/>
                <w:lang w:val="uk-UA"/>
              </w:rPr>
            </w:pPr>
            <w:r w:rsidRPr="00DC55B7">
              <w:rPr>
                <w:lang w:val="uk-UA"/>
              </w:rPr>
              <w:t xml:space="preserve"> ( тис.грн.)</w:t>
            </w:r>
          </w:p>
        </w:tc>
        <w:tc>
          <w:tcPr>
            <w:tcW w:w="1505" w:type="dxa"/>
          </w:tcPr>
          <w:p w:rsidR="001117BE" w:rsidRDefault="001117BE" w:rsidP="00C2348A">
            <w:pPr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</w:t>
            </w:r>
            <w:r w:rsidRPr="00DC55B7">
              <w:rPr>
                <w:lang w:val="uk-UA"/>
              </w:rPr>
              <w:t>надходження</w:t>
            </w:r>
          </w:p>
          <w:p w:rsidR="001117BE" w:rsidRDefault="001117BE" w:rsidP="00C2348A">
            <w:pPr>
              <w:ind w:left="57" w:right="57"/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  <w:p w:rsidR="001117BE" w:rsidRPr="00DC55B7" w:rsidRDefault="001117BE" w:rsidP="00C2348A">
            <w:pPr>
              <w:ind w:left="57" w:right="57"/>
              <w:jc w:val="center"/>
              <w:rPr>
                <w:lang w:val="uk-UA"/>
              </w:rPr>
            </w:pPr>
            <w:r w:rsidRPr="00DC55B7">
              <w:rPr>
                <w:lang w:val="uk-UA"/>
              </w:rPr>
              <w:t xml:space="preserve"> ( тис.грн.)</w:t>
            </w:r>
          </w:p>
        </w:tc>
        <w:tc>
          <w:tcPr>
            <w:tcW w:w="15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17BE" w:rsidRPr="00DC55B7" w:rsidRDefault="001117BE" w:rsidP="00C2348A">
            <w:pPr>
              <w:ind w:left="57" w:right="57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Прогнозні показники  н</w:t>
            </w:r>
            <w:r w:rsidRPr="00DC55B7">
              <w:rPr>
                <w:lang w:val="uk-UA"/>
              </w:rPr>
              <w:t>а 20</w:t>
            </w:r>
            <w:r>
              <w:rPr>
                <w:lang w:val="uk-UA"/>
              </w:rPr>
              <w:t>23</w:t>
            </w:r>
            <w:r w:rsidRPr="00DC55B7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ік</w:t>
            </w:r>
            <w:r w:rsidRPr="00DC55B7">
              <w:rPr>
                <w:lang w:val="uk-UA"/>
              </w:rPr>
              <w:t xml:space="preserve">     ( тис.грн.)</w:t>
            </w:r>
          </w:p>
        </w:tc>
        <w:tc>
          <w:tcPr>
            <w:tcW w:w="1510" w:type="dxa"/>
          </w:tcPr>
          <w:p w:rsidR="001117BE" w:rsidRPr="00DC55B7" w:rsidRDefault="001117BE" w:rsidP="00C2348A">
            <w:pPr>
              <w:ind w:left="57" w:right="57"/>
              <w:jc w:val="center"/>
              <w:rPr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Абсолютне </w:t>
            </w:r>
            <w:r w:rsidRPr="00DC55B7">
              <w:rPr>
                <w:rFonts w:eastAsia="Arial Unicode MS"/>
                <w:lang w:val="uk-UA"/>
              </w:rPr>
              <w:t xml:space="preserve">відхилення до </w:t>
            </w:r>
            <w:r>
              <w:rPr>
                <w:rFonts w:eastAsia="Arial Unicode MS"/>
                <w:lang w:val="uk-UA"/>
              </w:rPr>
              <w:t>очікуваного</w:t>
            </w:r>
            <w:r w:rsidRPr="00DC55B7">
              <w:rPr>
                <w:rFonts w:eastAsia="Arial Unicode MS"/>
                <w:lang w:val="uk-UA"/>
              </w:rPr>
              <w:t xml:space="preserve"> виконання минулого року (</w:t>
            </w:r>
            <w:r>
              <w:rPr>
                <w:rFonts w:eastAsia="Arial Unicode MS"/>
                <w:lang w:val="uk-UA"/>
              </w:rPr>
              <w:t>тис.грн.</w:t>
            </w:r>
            <w:r w:rsidRPr="00DC55B7">
              <w:rPr>
                <w:rFonts w:eastAsia="Arial Unicode MS"/>
                <w:lang w:val="uk-UA"/>
              </w:rPr>
              <w:t>)</w:t>
            </w:r>
          </w:p>
        </w:tc>
      </w:tr>
      <w:tr w:rsidR="001117BE" w:rsidRPr="00DC55B7" w:rsidTr="00C2348A">
        <w:trPr>
          <w:trHeight w:val="342"/>
          <w:jc w:val="center"/>
        </w:trPr>
        <w:tc>
          <w:tcPr>
            <w:tcW w:w="230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17BE" w:rsidRPr="00527F67" w:rsidRDefault="001117BE" w:rsidP="00C2348A">
            <w:pPr>
              <w:ind w:left="57" w:right="57"/>
              <w:rPr>
                <w:rFonts w:eastAsia="Arial Unicode MS"/>
                <w:lang w:val="uk-UA"/>
              </w:rPr>
            </w:pPr>
            <w:r w:rsidRPr="00527F67">
              <w:rPr>
                <w:lang w:val="uk-UA"/>
              </w:rPr>
              <w:t>Земельний податок з юридичних осіб</w:t>
            </w:r>
          </w:p>
        </w:tc>
        <w:tc>
          <w:tcPr>
            <w:tcW w:w="152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6063,7</w:t>
            </w:r>
          </w:p>
        </w:tc>
        <w:tc>
          <w:tcPr>
            <w:tcW w:w="1505" w:type="dxa"/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8500</w:t>
            </w:r>
            <w:r w:rsidRPr="00527F67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,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15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527F67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8500</w:t>
            </w:r>
          </w:p>
        </w:tc>
        <w:tc>
          <w:tcPr>
            <w:tcW w:w="1510" w:type="dxa"/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0</w:t>
            </w:r>
          </w:p>
        </w:tc>
      </w:tr>
      <w:tr w:rsidR="001117BE" w:rsidRPr="00DC55B7" w:rsidTr="00C2348A">
        <w:trPr>
          <w:trHeight w:val="323"/>
          <w:jc w:val="center"/>
        </w:trPr>
        <w:tc>
          <w:tcPr>
            <w:tcW w:w="230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17BE" w:rsidRPr="00527F67" w:rsidRDefault="001117BE" w:rsidP="00C2348A">
            <w:pPr>
              <w:ind w:left="57" w:right="57"/>
              <w:rPr>
                <w:rFonts w:eastAsia="Arial Unicode MS"/>
                <w:lang w:val="uk-UA"/>
              </w:rPr>
            </w:pPr>
            <w:r w:rsidRPr="00527F67">
              <w:rPr>
                <w:lang w:val="uk-UA"/>
              </w:rPr>
              <w:t>Орендна плата з юридичних осіб</w:t>
            </w:r>
          </w:p>
        </w:tc>
        <w:tc>
          <w:tcPr>
            <w:tcW w:w="152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6376,2</w:t>
            </w:r>
          </w:p>
        </w:tc>
        <w:tc>
          <w:tcPr>
            <w:tcW w:w="1505" w:type="dxa"/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527F67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9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950,0</w:t>
            </w:r>
          </w:p>
        </w:tc>
        <w:tc>
          <w:tcPr>
            <w:tcW w:w="15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527F67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8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8</w:t>
            </w:r>
            <w:r w:rsidRPr="00527F67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00</w:t>
            </w:r>
          </w:p>
        </w:tc>
        <w:tc>
          <w:tcPr>
            <w:tcW w:w="1510" w:type="dxa"/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527F67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-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1150,0</w:t>
            </w:r>
          </w:p>
        </w:tc>
      </w:tr>
      <w:tr w:rsidR="001117BE" w:rsidRPr="00DC55B7" w:rsidTr="00C2348A">
        <w:trPr>
          <w:trHeight w:val="348"/>
          <w:jc w:val="center"/>
        </w:trPr>
        <w:tc>
          <w:tcPr>
            <w:tcW w:w="230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17BE" w:rsidRPr="00527F67" w:rsidRDefault="001117BE" w:rsidP="00C2348A">
            <w:pPr>
              <w:ind w:left="57" w:right="57"/>
              <w:rPr>
                <w:rFonts w:eastAsia="Arial Unicode MS"/>
                <w:lang w:val="uk-UA"/>
              </w:rPr>
            </w:pPr>
            <w:r w:rsidRPr="00527F67">
              <w:rPr>
                <w:lang w:val="uk-UA"/>
              </w:rPr>
              <w:t>Земельний податок з фізичних осіб</w:t>
            </w:r>
          </w:p>
        </w:tc>
        <w:tc>
          <w:tcPr>
            <w:tcW w:w="152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831,5</w:t>
            </w:r>
          </w:p>
        </w:tc>
        <w:tc>
          <w:tcPr>
            <w:tcW w:w="1505" w:type="dxa"/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367,0</w:t>
            </w:r>
          </w:p>
        </w:tc>
        <w:tc>
          <w:tcPr>
            <w:tcW w:w="15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527F67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1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2</w:t>
            </w:r>
            <w:r w:rsidRPr="00527F67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00</w:t>
            </w:r>
          </w:p>
        </w:tc>
        <w:tc>
          <w:tcPr>
            <w:tcW w:w="1510" w:type="dxa"/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833,0</w:t>
            </w:r>
          </w:p>
        </w:tc>
      </w:tr>
      <w:tr w:rsidR="001117BE" w:rsidRPr="00DC55B7" w:rsidTr="00C2348A">
        <w:trPr>
          <w:trHeight w:val="344"/>
          <w:jc w:val="center"/>
        </w:trPr>
        <w:tc>
          <w:tcPr>
            <w:tcW w:w="230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17BE" w:rsidRPr="00527F67" w:rsidRDefault="001117BE" w:rsidP="00C2348A">
            <w:pPr>
              <w:ind w:left="57" w:right="57"/>
              <w:rPr>
                <w:rFonts w:eastAsia="Arial Unicode MS"/>
                <w:lang w:val="uk-UA"/>
              </w:rPr>
            </w:pPr>
            <w:r w:rsidRPr="00527F67">
              <w:rPr>
                <w:lang w:val="uk-UA"/>
              </w:rPr>
              <w:t>Орендна плата з фізичних осіб</w:t>
            </w:r>
          </w:p>
        </w:tc>
        <w:tc>
          <w:tcPr>
            <w:tcW w:w="152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1279,9</w:t>
            </w:r>
          </w:p>
        </w:tc>
        <w:tc>
          <w:tcPr>
            <w:tcW w:w="1505" w:type="dxa"/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855,0</w:t>
            </w:r>
          </w:p>
        </w:tc>
        <w:tc>
          <w:tcPr>
            <w:tcW w:w="15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1350</w:t>
            </w:r>
            <w:r w:rsidRPr="00527F67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,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0" w:type="dxa"/>
            <w:vAlign w:val="center"/>
          </w:tcPr>
          <w:p w:rsidR="001117BE" w:rsidRPr="00527F67" w:rsidRDefault="001117BE" w:rsidP="00C234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495,0</w:t>
            </w:r>
          </w:p>
        </w:tc>
      </w:tr>
      <w:tr w:rsidR="001117BE" w:rsidRPr="00DC55B7" w:rsidTr="00C2348A">
        <w:trPr>
          <w:trHeight w:val="315"/>
          <w:jc w:val="center"/>
        </w:trPr>
        <w:tc>
          <w:tcPr>
            <w:tcW w:w="230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17BE" w:rsidRPr="00DC55B7" w:rsidRDefault="001117BE" w:rsidP="00C2348A">
            <w:pPr>
              <w:ind w:left="57" w:right="57"/>
              <w:jc w:val="both"/>
              <w:rPr>
                <w:rFonts w:eastAsia="Arial Unicode MS"/>
                <w:b/>
                <w:bCs/>
                <w:lang w:val="uk-UA"/>
              </w:rPr>
            </w:pPr>
            <w:r w:rsidRPr="00DC55B7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52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117BE" w:rsidRPr="00DC55B7" w:rsidRDefault="001117BE" w:rsidP="00C2348A">
            <w:pPr>
              <w:jc w:val="center"/>
              <w:rPr>
                <w:rFonts w:ascii="Arial" w:hAnsi="Arial" w:cs="Calibri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uk-UA"/>
              </w:rPr>
              <w:t>14551,3</w:t>
            </w:r>
          </w:p>
        </w:tc>
        <w:tc>
          <w:tcPr>
            <w:tcW w:w="1505" w:type="dxa"/>
            <w:vAlign w:val="bottom"/>
          </w:tcPr>
          <w:p w:rsidR="001117BE" w:rsidRPr="00DC55B7" w:rsidRDefault="001117BE" w:rsidP="00C2348A">
            <w:pPr>
              <w:jc w:val="center"/>
              <w:rPr>
                <w:rFonts w:ascii="Arial" w:hAnsi="Arial" w:cs="Calibri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uk-UA"/>
              </w:rPr>
              <w:t>19672,0</w:t>
            </w:r>
          </w:p>
        </w:tc>
        <w:tc>
          <w:tcPr>
            <w:tcW w:w="15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17BE" w:rsidRPr="00DC55B7" w:rsidRDefault="001117BE" w:rsidP="00C2348A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19850,0</w:t>
            </w:r>
          </w:p>
        </w:tc>
        <w:tc>
          <w:tcPr>
            <w:tcW w:w="1510" w:type="dxa"/>
            <w:vAlign w:val="center"/>
          </w:tcPr>
          <w:p w:rsidR="001117BE" w:rsidRPr="00DC55B7" w:rsidRDefault="001117BE" w:rsidP="00C2348A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178,0</w:t>
            </w:r>
          </w:p>
        </w:tc>
      </w:tr>
    </w:tbl>
    <w:p w:rsidR="001117BE" w:rsidRDefault="001117BE" w:rsidP="001117BE">
      <w:pPr>
        <w:pStyle w:val="a5"/>
        <w:tabs>
          <w:tab w:val="left" w:pos="993"/>
        </w:tabs>
        <w:ind w:left="0" w:firstLine="851"/>
        <w:jc w:val="both"/>
        <w:rPr>
          <w:bCs/>
          <w:iCs/>
          <w:sz w:val="28"/>
          <w:szCs w:val="28"/>
        </w:rPr>
      </w:pPr>
    </w:p>
    <w:p w:rsidR="001117BE" w:rsidRPr="0084412A" w:rsidRDefault="001117BE" w:rsidP="001117BE">
      <w:pPr>
        <w:pStyle w:val="a5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Відхилення прогнозних показників 2023 року до очікуваного виконання 2022 року відбулось з</w:t>
      </w:r>
      <w:r>
        <w:rPr>
          <w:bCs/>
          <w:sz w:val="28"/>
          <w:szCs w:val="28"/>
        </w:rPr>
        <w:t xml:space="preserve">а рахунок  проведених земельних торгів на відкритому аукціоні, по орендній платі з юридичних осіб, так у 2022 році надійшли річні суми податку від </w:t>
      </w:r>
      <w:r w:rsidRPr="00922D7F">
        <w:rPr>
          <w:bCs/>
          <w:sz w:val="28"/>
          <w:szCs w:val="28"/>
        </w:rPr>
        <w:t xml:space="preserve">ТОВ АП "Маяк" </w:t>
      </w:r>
      <w:r>
        <w:rPr>
          <w:bCs/>
          <w:sz w:val="28"/>
          <w:szCs w:val="28"/>
        </w:rPr>
        <w:t xml:space="preserve">– 361,2 тис.грн. та від </w:t>
      </w:r>
      <w:r w:rsidRPr="00922D7F">
        <w:rPr>
          <w:bCs/>
          <w:sz w:val="28"/>
          <w:szCs w:val="28"/>
        </w:rPr>
        <w:t>АТ "Н</w:t>
      </w:r>
      <w:r>
        <w:rPr>
          <w:bCs/>
          <w:sz w:val="28"/>
          <w:szCs w:val="28"/>
        </w:rPr>
        <w:t>осівське</w:t>
      </w:r>
      <w:r w:rsidRPr="00922D7F">
        <w:rPr>
          <w:bCs/>
          <w:sz w:val="28"/>
          <w:szCs w:val="28"/>
        </w:rPr>
        <w:t xml:space="preserve"> ХПП"</w:t>
      </w:r>
      <w:r>
        <w:rPr>
          <w:bCs/>
          <w:sz w:val="28"/>
          <w:szCs w:val="28"/>
        </w:rPr>
        <w:t>-1220,5 тис.грн.,</w:t>
      </w:r>
      <w:r w:rsidRPr="00922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що будуть відображені у нарахуваннях 2023 року</w:t>
      </w:r>
      <w:r w:rsidRPr="0084412A">
        <w:rPr>
          <w:sz w:val="28"/>
          <w:szCs w:val="28"/>
        </w:rPr>
        <w:t>;</w:t>
      </w:r>
    </w:p>
    <w:p w:rsidR="001117BE" w:rsidRDefault="001117BE" w:rsidP="001117B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1117BE" w:rsidRPr="00A549BA" w:rsidRDefault="001117BE" w:rsidP="001117B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F075AC">
        <w:rPr>
          <w:color w:val="000000"/>
          <w:sz w:val="28"/>
          <w:szCs w:val="28"/>
          <w:lang w:val="uk-UA"/>
        </w:rPr>
        <w:t>Станом на 01.10.202</w:t>
      </w:r>
      <w:r w:rsidR="009F21B2">
        <w:rPr>
          <w:color w:val="000000"/>
          <w:sz w:val="28"/>
          <w:szCs w:val="28"/>
          <w:lang w:val="uk-UA"/>
        </w:rPr>
        <w:t>2</w:t>
      </w:r>
      <w:r w:rsidRPr="00F075AC">
        <w:rPr>
          <w:color w:val="000000"/>
          <w:sz w:val="28"/>
          <w:szCs w:val="28"/>
          <w:lang w:val="uk-UA"/>
        </w:rPr>
        <w:t xml:space="preserve"> на обліку перебуває 661 осіб‒підприємців платників єдиного податку, в тому числі: 605 – фізичних</w:t>
      </w:r>
      <w:r w:rsidRPr="00A549BA">
        <w:rPr>
          <w:color w:val="000000"/>
          <w:sz w:val="28"/>
          <w:szCs w:val="28"/>
          <w:lang w:val="uk-UA"/>
        </w:rPr>
        <w:t xml:space="preserve"> осіб, з яких 7</w:t>
      </w:r>
      <w:r w:rsidRPr="00F075AC">
        <w:rPr>
          <w:color w:val="000000"/>
          <w:sz w:val="28"/>
          <w:szCs w:val="28"/>
          <w:lang w:val="uk-UA"/>
        </w:rPr>
        <w:t>2</w:t>
      </w:r>
      <w:r w:rsidRPr="00A549BA">
        <w:rPr>
          <w:color w:val="000000"/>
          <w:sz w:val="28"/>
          <w:szCs w:val="28"/>
          <w:lang w:val="uk-UA"/>
        </w:rPr>
        <w:t xml:space="preserve"> осіб обрали першу групу, 3</w:t>
      </w:r>
      <w:r w:rsidRPr="00F075AC">
        <w:rPr>
          <w:color w:val="000000"/>
          <w:sz w:val="28"/>
          <w:szCs w:val="28"/>
          <w:lang w:val="uk-UA"/>
        </w:rPr>
        <w:t>2</w:t>
      </w:r>
      <w:r w:rsidRPr="00A549BA">
        <w:rPr>
          <w:color w:val="000000"/>
          <w:sz w:val="28"/>
          <w:szCs w:val="28"/>
          <w:lang w:val="uk-UA"/>
        </w:rPr>
        <w:t>0 другу групу та 2</w:t>
      </w:r>
      <w:r w:rsidRPr="00F075AC">
        <w:rPr>
          <w:color w:val="000000"/>
          <w:sz w:val="28"/>
          <w:szCs w:val="28"/>
          <w:lang w:val="uk-UA"/>
        </w:rPr>
        <w:t xml:space="preserve">13 </w:t>
      </w:r>
      <w:r w:rsidRPr="00A549BA">
        <w:rPr>
          <w:color w:val="000000"/>
          <w:sz w:val="28"/>
          <w:szCs w:val="28"/>
          <w:lang w:val="uk-UA"/>
        </w:rPr>
        <w:t>третю групу спрощеної системи обліку та звітності та 5</w:t>
      </w:r>
      <w:r w:rsidRPr="00F075AC">
        <w:rPr>
          <w:color w:val="000000"/>
          <w:sz w:val="28"/>
          <w:szCs w:val="28"/>
          <w:lang w:val="uk-UA"/>
        </w:rPr>
        <w:t>6</w:t>
      </w:r>
      <w:r w:rsidRPr="00A549BA">
        <w:rPr>
          <w:color w:val="000000"/>
          <w:sz w:val="28"/>
          <w:szCs w:val="28"/>
          <w:lang w:val="uk-UA"/>
        </w:rPr>
        <w:t xml:space="preserve"> – юридичних особи в т.ч. 2</w:t>
      </w:r>
      <w:r w:rsidRPr="00F075AC">
        <w:rPr>
          <w:color w:val="000000"/>
          <w:sz w:val="28"/>
          <w:szCs w:val="28"/>
          <w:lang w:val="uk-UA"/>
        </w:rPr>
        <w:t>1</w:t>
      </w:r>
      <w:r w:rsidRPr="00A549BA">
        <w:rPr>
          <w:color w:val="000000"/>
          <w:sz w:val="28"/>
          <w:szCs w:val="28"/>
          <w:lang w:val="uk-UA"/>
        </w:rPr>
        <w:t xml:space="preserve"> суб’єкта на третій групі, </w:t>
      </w:r>
      <w:r w:rsidRPr="00F075AC">
        <w:rPr>
          <w:color w:val="000000"/>
          <w:sz w:val="28"/>
          <w:szCs w:val="28"/>
          <w:lang w:val="uk-UA"/>
        </w:rPr>
        <w:t>35</w:t>
      </w:r>
      <w:r w:rsidRPr="00A549BA">
        <w:rPr>
          <w:color w:val="000000"/>
          <w:sz w:val="28"/>
          <w:szCs w:val="28"/>
          <w:lang w:val="uk-UA"/>
        </w:rPr>
        <w:t xml:space="preserve"> платників єдиного податку четвертої групи для ведення сільськогосподарського товаровиробництва. </w:t>
      </w:r>
    </w:p>
    <w:p w:rsidR="001117BE" w:rsidRDefault="001117BE" w:rsidP="001117B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Надходження по єдиному податку прогнозуються в сумі 1</w:t>
      </w:r>
      <w:r w:rsidR="00E725D3">
        <w:rPr>
          <w:sz w:val="28"/>
          <w:szCs w:val="28"/>
        </w:rPr>
        <w:t xml:space="preserve">6600 </w:t>
      </w:r>
      <w:r>
        <w:rPr>
          <w:sz w:val="28"/>
          <w:szCs w:val="28"/>
        </w:rPr>
        <w:t>тис. грн. з них :</w:t>
      </w:r>
    </w:p>
    <w:p w:rsidR="001117BE" w:rsidRDefault="001117BE" w:rsidP="001117B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 юридичних осіб (3 група)– 1</w:t>
      </w:r>
      <w:r w:rsidRPr="004E5782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,</w:t>
      </w:r>
      <w:r w:rsidRPr="004E5782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тис.грн., </w:t>
      </w:r>
    </w:p>
    <w:p w:rsidR="001117BE" w:rsidRDefault="001117BE" w:rsidP="001117B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фізичних осіб (1-3 групи)– 11000 тис.грн. </w:t>
      </w:r>
    </w:p>
    <w:p w:rsidR="001117BE" w:rsidRPr="00AE4D9E" w:rsidRDefault="001117BE" w:rsidP="001117BE">
      <w:pPr>
        <w:ind w:firstLine="851"/>
        <w:jc w:val="both"/>
        <w:rPr>
          <w:sz w:val="28"/>
          <w:szCs w:val="28"/>
          <w:lang w:val="uk-UA"/>
        </w:rPr>
      </w:pPr>
      <w:r w:rsidRPr="00434630">
        <w:rPr>
          <w:sz w:val="28"/>
          <w:szCs w:val="28"/>
          <w:lang w:val="uk-UA"/>
        </w:rPr>
        <w:t xml:space="preserve"> Даний показник розраховано виходячи з кількості платників,  затверджених ставок, очікуваних надходжень податку у 202</w:t>
      </w:r>
      <w:r>
        <w:rPr>
          <w:sz w:val="28"/>
          <w:szCs w:val="28"/>
          <w:lang w:val="uk-UA"/>
        </w:rPr>
        <w:t>2</w:t>
      </w:r>
      <w:r w:rsidRPr="00434630">
        <w:rPr>
          <w:sz w:val="28"/>
          <w:szCs w:val="28"/>
          <w:lang w:val="uk-UA"/>
        </w:rPr>
        <w:t xml:space="preserve"> році, збільшення прожиткового мінімуму для працездатних осіб на </w:t>
      </w:r>
      <w:r>
        <w:rPr>
          <w:sz w:val="28"/>
          <w:szCs w:val="28"/>
          <w:lang w:val="uk-UA"/>
        </w:rPr>
        <w:t>8,2</w:t>
      </w:r>
      <w:r w:rsidRPr="00434630">
        <w:rPr>
          <w:sz w:val="28"/>
          <w:szCs w:val="28"/>
          <w:lang w:val="uk-UA"/>
        </w:rPr>
        <w:t xml:space="preserve">% для платників І групи, зростання мінімальної заробітної плати на </w:t>
      </w:r>
      <w:r>
        <w:rPr>
          <w:sz w:val="28"/>
          <w:szCs w:val="28"/>
          <w:lang w:val="uk-UA"/>
        </w:rPr>
        <w:t>3,0</w:t>
      </w:r>
      <w:r w:rsidRPr="00434630">
        <w:rPr>
          <w:sz w:val="28"/>
          <w:szCs w:val="28"/>
          <w:lang w:val="uk-UA"/>
        </w:rPr>
        <w:t xml:space="preserve">% для платників ІІ групи та з урахуванням </w:t>
      </w:r>
      <w:r>
        <w:rPr>
          <w:sz w:val="28"/>
          <w:szCs w:val="28"/>
          <w:lang w:val="uk-UA"/>
        </w:rPr>
        <w:t>затверджених в додатку 4.2  Положення про єдиний податок на території Носівської міської ради, затверджене</w:t>
      </w:r>
      <w:r w:rsidRPr="00434630">
        <w:rPr>
          <w:sz w:val="28"/>
          <w:szCs w:val="28"/>
          <w:lang w:val="uk-UA"/>
        </w:rPr>
        <w:t xml:space="preserve"> рішенням </w:t>
      </w:r>
      <w:r>
        <w:rPr>
          <w:sz w:val="28"/>
          <w:szCs w:val="28"/>
          <w:lang w:val="uk-UA"/>
        </w:rPr>
        <w:t xml:space="preserve">Носівської міської ради від 16 червня 2021 року №215 «Про встановлення місцевих податків на території Носівської міської ради». </w:t>
      </w:r>
    </w:p>
    <w:p w:rsidR="001117BE" w:rsidRDefault="001117BE" w:rsidP="001117B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Обсяг надходжень по єдиному податку з </w:t>
      </w:r>
      <w:r w:rsidRPr="00AB082C">
        <w:rPr>
          <w:sz w:val="28"/>
          <w:szCs w:val="28"/>
        </w:rPr>
        <w:t>сільськогосподарськ</w:t>
      </w:r>
      <w:r>
        <w:rPr>
          <w:sz w:val="28"/>
          <w:szCs w:val="28"/>
        </w:rPr>
        <w:t>их</w:t>
      </w:r>
      <w:r w:rsidRPr="00AB082C">
        <w:rPr>
          <w:sz w:val="28"/>
          <w:szCs w:val="28"/>
        </w:rPr>
        <w:t xml:space="preserve"> товаровиробник</w:t>
      </w:r>
      <w:r>
        <w:rPr>
          <w:sz w:val="28"/>
          <w:szCs w:val="28"/>
        </w:rPr>
        <w:t>ів</w:t>
      </w:r>
      <w:r w:rsidRPr="00AB08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розраховано відповідно до пункту 9 статті 293 розділу </w:t>
      </w:r>
      <w:r w:rsidRPr="00813D7F"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IV</w:t>
      </w:r>
      <w:r w:rsidRPr="00813D7F">
        <w:rPr>
          <w:sz w:val="28"/>
          <w:szCs w:val="28"/>
        </w:rPr>
        <w:t xml:space="preserve"> Податкового </w:t>
      </w:r>
      <w:r>
        <w:rPr>
          <w:sz w:val="28"/>
          <w:szCs w:val="28"/>
        </w:rPr>
        <w:t xml:space="preserve">кодексу (розмір ставок податку за 1 гектар сільськогосподарських угідь в залежності від категорії земель) </w:t>
      </w:r>
      <w:r w:rsidRPr="00813D7F">
        <w:rPr>
          <w:sz w:val="28"/>
          <w:szCs w:val="28"/>
        </w:rPr>
        <w:t xml:space="preserve">та </w:t>
      </w:r>
      <w:r>
        <w:rPr>
          <w:sz w:val="28"/>
          <w:szCs w:val="28"/>
        </w:rPr>
        <w:t>прогнозується отримати в сумі  5100,0 тис.грн.</w:t>
      </w:r>
    </w:p>
    <w:p w:rsidR="001117BE" w:rsidRDefault="001117BE" w:rsidP="001117B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цілому прогнозні надходження по інших неподаткових платежах та джерелах доходів (інших надходженнях) визначено на підставі чинного законодавства, з урахуванням фактичного виконання цих надходжень за попередні роки. </w:t>
      </w:r>
    </w:p>
    <w:p w:rsidR="001117BE" w:rsidRDefault="001117BE" w:rsidP="001117B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Плата за надання інших адміністративних послуг (витяги з ДЗК, послуги УДМС) спрогнозована в сумі 885,0 тис.грн., адміністративний збір за державну реєстрацію речових прав на нерухоме майно та їх обтяжень – 300,0 тис.грн., плата за надання інших адміністративних послуг</w:t>
      </w:r>
      <w:r w:rsidR="005A77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A77D9">
        <w:rPr>
          <w:sz w:val="28"/>
          <w:szCs w:val="28"/>
        </w:rPr>
        <w:t xml:space="preserve"> </w:t>
      </w:r>
      <w:r>
        <w:rPr>
          <w:sz w:val="28"/>
          <w:szCs w:val="28"/>
        </w:rPr>
        <w:t>550,0 тис.грн., адміністративний збір за проведення державної реєстрації юридичних та фізичних осіб – 35,0 тис.грн</w:t>
      </w:r>
    </w:p>
    <w:p w:rsidR="001117BE" w:rsidRDefault="001117BE" w:rsidP="001117B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Прогнозні розрахунки по державному миту на 2023 рік спрогнозовані в сумі 33,0 тис.грн. </w:t>
      </w:r>
    </w:p>
    <w:p w:rsidR="001117BE" w:rsidRDefault="001117BE" w:rsidP="001117B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Інші неподаткові надходження – 50,0 тис.грн.</w:t>
      </w:r>
    </w:p>
    <w:p w:rsidR="001117BE" w:rsidRDefault="001117BE" w:rsidP="001117BE">
      <w:pPr>
        <w:numPr>
          <w:ilvl w:val="1"/>
          <w:numId w:val="0"/>
        </w:numPr>
        <w:tabs>
          <w:tab w:val="left" w:pos="1701"/>
          <w:tab w:val="num" w:pos="2269"/>
          <w:tab w:val="right" w:leader="dot" w:pos="9720"/>
        </w:tabs>
        <w:spacing w:before="60"/>
        <w:ind w:right="-1" w:firstLine="709"/>
        <w:jc w:val="both"/>
        <w:outlineLvl w:val="2"/>
        <w:rPr>
          <w:sz w:val="28"/>
          <w:szCs w:val="28"/>
          <w:lang w:val="uk-UA"/>
        </w:rPr>
      </w:pPr>
      <w:r w:rsidRPr="00670D6D">
        <w:rPr>
          <w:b/>
          <w:bCs/>
          <w:sz w:val="28"/>
          <w:szCs w:val="28"/>
          <w:lang w:val="uk-UA"/>
        </w:rPr>
        <w:t>Обсяг спеціального фонду бюджету</w:t>
      </w:r>
      <w:r w:rsidRPr="00670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громади </w:t>
      </w:r>
      <w:r w:rsidRPr="00670D6D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23</w:t>
      </w:r>
      <w:r w:rsidRPr="00670D6D">
        <w:rPr>
          <w:sz w:val="28"/>
          <w:szCs w:val="28"/>
          <w:lang w:val="uk-UA"/>
        </w:rPr>
        <w:t xml:space="preserve"> рік прогнозується в</w:t>
      </w:r>
      <w:r w:rsidRPr="0045299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сумі 5862,2</w:t>
      </w:r>
      <w:r w:rsidRPr="00670D6D">
        <w:rPr>
          <w:sz w:val="28"/>
          <w:szCs w:val="28"/>
          <w:lang w:val="uk-UA"/>
        </w:rPr>
        <w:t xml:space="preserve"> сумі</w:t>
      </w:r>
      <w:r w:rsidRPr="00670D6D">
        <w:rPr>
          <w:sz w:val="28"/>
          <w:szCs w:val="28"/>
        </w:rPr>
        <w:t xml:space="preserve"> </w:t>
      </w:r>
      <w:r w:rsidRPr="00670D6D">
        <w:rPr>
          <w:sz w:val="28"/>
          <w:szCs w:val="28"/>
          <w:lang w:val="uk-UA"/>
        </w:rPr>
        <w:t xml:space="preserve">тис. грн. </w:t>
      </w:r>
    </w:p>
    <w:p w:rsidR="001117BE" w:rsidRDefault="001117BE" w:rsidP="001117BE">
      <w:pPr>
        <w:pStyle w:val="a5"/>
        <w:spacing w:line="3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0D6D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Pr="003D4C38">
        <w:rPr>
          <w:b/>
          <w:i/>
          <w:sz w:val="28"/>
          <w:szCs w:val="28"/>
        </w:rPr>
        <w:t>надходження екологічного податку</w:t>
      </w:r>
      <w:r w:rsidRPr="00886EA8">
        <w:rPr>
          <w:sz w:val="28"/>
          <w:szCs w:val="28"/>
        </w:rPr>
        <w:t xml:space="preserve"> здійснені на основі Податкового кодексу України, пункту </w:t>
      </w:r>
      <w:r>
        <w:rPr>
          <w:sz w:val="28"/>
          <w:szCs w:val="28"/>
        </w:rPr>
        <w:t>4-1</w:t>
      </w:r>
      <w:r w:rsidRPr="00886EA8">
        <w:rPr>
          <w:sz w:val="28"/>
          <w:szCs w:val="28"/>
        </w:rPr>
        <w:t xml:space="preserve"> статті 69</w:t>
      </w:r>
      <w:r>
        <w:rPr>
          <w:sz w:val="28"/>
          <w:szCs w:val="28"/>
        </w:rPr>
        <w:t>-1</w:t>
      </w:r>
      <w:r w:rsidRPr="00886EA8">
        <w:rPr>
          <w:sz w:val="28"/>
          <w:szCs w:val="28"/>
        </w:rPr>
        <w:t xml:space="preserve"> Бюджетного кодексу України та </w:t>
      </w:r>
      <w:r>
        <w:rPr>
          <w:sz w:val="28"/>
          <w:szCs w:val="28"/>
        </w:rPr>
        <w:t>спрогнозовані</w:t>
      </w:r>
      <w:r w:rsidRPr="00886EA8">
        <w:rPr>
          <w:sz w:val="28"/>
          <w:szCs w:val="28"/>
        </w:rPr>
        <w:t xml:space="preserve"> у </w:t>
      </w:r>
      <w:r w:rsidRPr="006E2693">
        <w:rPr>
          <w:sz w:val="28"/>
          <w:szCs w:val="28"/>
        </w:rPr>
        <w:t xml:space="preserve">сумі </w:t>
      </w:r>
      <w:r w:rsidRPr="005C56B3">
        <w:rPr>
          <w:sz w:val="28"/>
          <w:szCs w:val="28"/>
        </w:rPr>
        <w:t>98</w:t>
      </w:r>
      <w:r w:rsidRPr="006E2693">
        <w:rPr>
          <w:sz w:val="28"/>
          <w:szCs w:val="28"/>
        </w:rPr>
        <w:t>,0 тис</w:t>
      </w:r>
      <w:r w:rsidRPr="00886EA8">
        <w:rPr>
          <w:sz w:val="28"/>
          <w:szCs w:val="28"/>
        </w:rPr>
        <w:t>.грн</w:t>
      </w:r>
      <w:r>
        <w:rPr>
          <w:sz w:val="28"/>
          <w:szCs w:val="28"/>
        </w:rPr>
        <w:t xml:space="preserve">. </w:t>
      </w:r>
    </w:p>
    <w:p w:rsidR="001117BE" w:rsidRDefault="001117BE" w:rsidP="001117BE">
      <w:pPr>
        <w:pStyle w:val="a5"/>
        <w:spacing w:line="340" w:lineRule="exact"/>
        <w:ind w:left="0" w:firstLine="567"/>
        <w:jc w:val="both"/>
        <w:rPr>
          <w:sz w:val="28"/>
          <w:szCs w:val="28"/>
        </w:rPr>
      </w:pPr>
      <w:r w:rsidRPr="00670D6D">
        <w:rPr>
          <w:sz w:val="28"/>
          <w:szCs w:val="28"/>
        </w:rPr>
        <w:t xml:space="preserve">● </w:t>
      </w:r>
      <w:r w:rsidRPr="00670D6D">
        <w:rPr>
          <w:b/>
          <w:bCs/>
          <w:i/>
          <w:iCs/>
          <w:sz w:val="28"/>
          <w:szCs w:val="28"/>
        </w:rPr>
        <w:t>власні надходження бюджетних установ</w:t>
      </w:r>
      <w:r w:rsidRPr="00670D6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 </w:t>
      </w:r>
      <w:r w:rsidRPr="00544974">
        <w:rPr>
          <w:sz w:val="28"/>
          <w:szCs w:val="28"/>
          <w:lang w:val="ru-RU"/>
        </w:rPr>
        <w:t>3</w:t>
      </w:r>
      <w:r w:rsidRPr="00534753">
        <w:rPr>
          <w:sz w:val="28"/>
          <w:szCs w:val="28"/>
        </w:rPr>
        <w:t>7</w:t>
      </w:r>
      <w:r w:rsidRPr="006877DA">
        <w:rPr>
          <w:sz w:val="28"/>
          <w:szCs w:val="28"/>
        </w:rPr>
        <w:t>8</w:t>
      </w:r>
      <w:r w:rsidRPr="00544974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,</w:t>
      </w:r>
      <w:r w:rsidRPr="00544974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</w:t>
      </w:r>
      <w:r w:rsidRPr="00670D6D">
        <w:rPr>
          <w:sz w:val="28"/>
          <w:szCs w:val="28"/>
        </w:rPr>
        <w:t>тис. грн.</w:t>
      </w:r>
    </w:p>
    <w:p w:rsidR="00EF30BF" w:rsidRPr="001117BE" w:rsidRDefault="00EF30BF" w:rsidP="00603B9C">
      <w:pPr>
        <w:ind w:firstLine="851"/>
        <w:jc w:val="both"/>
        <w:rPr>
          <w:sz w:val="28"/>
          <w:szCs w:val="28"/>
          <w:lang w:val="uk-UA"/>
        </w:rPr>
      </w:pPr>
    </w:p>
    <w:p w:rsidR="007A42F5" w:rsidRPr="00670D6D" w:rsidRDefault="007A42F5" w:rsidP="006A4510">
      <w:pPr>
        <w:numPr>
          <w:ilvl w:val="1"/>
          <w:numId w:val="0"/>
        </w:numPr>
        <w:tabs>
          <w:tab w:val="left" w:pos="1701"/>
          <w:tab w:val="num" w:pos="2269"/>
          <w:tab w:val="right" w:leader="dot" w:pos="9720"/>
        </w:tabs>
        <w:ind w:right="-1" w:firstLine="720"/>
        <w:jc w:val="both"/>
        <w:outlineLvl w:val="2"/>
        <w:rPr>
          <w:sz w:val="28"/>
          <w:szCs w:val="28"/>
          <w:lang w:val="uk-UA"/>
        </w:rPr>
      </w:pPr>
    </w:p>
    <w:p w:rsidR="00514AE7" w:rsidRDefault="00514AE7" w:rsidP="00514AE7">
      <w:pPr>
        <w:spacing w:line="340" w:lineRule="exact"/>
        <w:ind w:firstLine="851"/>
        <w:jc w:val="center"/>
        <w:rPr>
          <w:b/>
          <w:sz w:val="28"/>
          <w:szCs w:val="28"/>
          <w:lang w:val="uk-UA"/>
        </w:rPr>
      </w:pPr>
      <w:r w:rsidRPr="00A03C8E">
        <w:rPr>
          <w:b/>
          <w:sz w:val="28"/>
          <w:szCs w:val="28"/>
          <w:lang w:val="uk-UA"/>
        </w:rPr>
        <w:t>Пояснення до основних положень проекту рішення про</w:t>
      </w:r>
      <w:r>
        <w:rPr>
          <w:b/>
          <w:sz w:val="32"/>
          <w:szCs w:val="32"/>
          <w:lang w:val="uk-UA"/>
        </w:rPr>
        <w:t xml:space="preserve"> </w:t>
      </w:r>
      <w:r w:rsidRPr="00A03C8E">
        <w:rPr>
          <w:b/>
          <w:sz w:val="28"/>
          <w:szCs w:val="28"/>
          <w:lang w:val="uk-UA"/>
        </w:rPr>
        <w:t>бюджет</w:t>
      </w:r>
      <w:r>
        <w:rPr>
          <w:b/>
          <w:sz w:val="32"/>
          <w:szCs w:val="32"/>
          <w:lang w:val="uk-UA"/>
        </w:rPr>
        <w:t xml:space="preserve"> </w:t>
      </w:r>
      <w:r w:rsidRPr="00A03C8E">
        <w:rPr>
          <w:b/>
          <w:sz w:val="28"/>
          <w:szCs w:val="28"/>
          <w:lang w:val="uk-UA"/>
        </w:rPr>
        <w:t>Носівської міської територіальної громади</w:t>
      </w:r>
    </w:p>
    <w:p w:rsidR="00514AE7" w:rsidRPr="007A42F5" w:rsidRDefault="00514AE7" w:rsidP="00514AE7">
      <w:pPr>
        <w:spacing w:line="340" w:lineRule="exact"/>
        <w:ind w:firstLine="851"/>
        <w:jc w:val="center"/>
        <w:rPr>
          <w:b/>
          <w:sz w:val="28"/>
          <w:szCs w:val="28"/>
          <w:lang w:val="uk-UA"/>
        </w:rPr>
      </w:pPr>
    </w:p>
    <w:p w:rsidR="00D13D1F" w:rsidRPr="00CD36DC" w:rsidRDefault="00514AE7" w:rsidP="00514AE7">
      <w:pPr>
        <w:spacing w:line="340" w:lineRule="exact"/>
        <w:ind w:firstLine="851"/>
        <w:jc w:val="both"/>
        <w:rPr>
          <w:sz w:val="28"/>
          <w:szCs w:val="28"/>
          <w:lang w:val="uk-UA"/>
        </w:rPr>
      </w:pPr>
      <w:r w:rsidRPr="007958EA">
        <w:rPr>
          <w:sz w:val="28"/>
          <w:szCs w:val="28"/>
          <w:lang w:val="uk-UA"/>
        </w:rPr>
        <w:t xml:space="preserve">Загальний обсяг видатків </w:t>
      </w:r>
      <w:r>
        <w:rPr>
          <w:sz w:val="28"/>
          <w:szCs w:val="28"/>
          <w:lang w:val="uk-UA"/>
        </w:rPr>
        <w:t>бюджету</w:t>
      </w:r>
      <w:r w:rsidRPr="00D8010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 w:rsidRPr="007958EA">
        <w:rPr>
          <w:sz w:val="28"/>
          <w:szCs w:val="28"/>
          <w:lang w:val="uk-UA"/>
        </w:rPr>
        <w:t xml:space="preserve"> (</w:t>
      </w:r>
      <w:r w:rsidRPr="00F174E9">
        <w:rPr>
          <w:i/>
          <w:sz w:val="28"/>
          <w:szCs w:val="28"/>
          <w:lang w:val="uk-UA"/>
        </w:rPr>
        <w:t>без врахування надання та повернення кредитів</w:t>
      </w:r>
      <w:r w:rsidRPr="007958EA">
        <w:rPr>
          <w:sz w:val="28"/>
          <w:szCs w:val="28"/>
          <w:lang w:val="uk-UA"/>
        </w:rPr>
        <w:t xml:space="preserve">) становить </w:t>
      </w:r>
      <w:r w:rsidR="00A74D5E" w:rsidRPr="00A74D5E">
        <w:rPr>
          <w:sz w:val="28"/>
          <w:szCs w:val="28"/>
        </w:rPr>
        <w:t>191636</w:t>
      </w:r>
      <w:r w:rsidR="00A74D5E">
        <w:rPr>
          <w:sz w:val="28"/>
          <w:szCs w:val="28"/>
          <w:lang w:val="uk-UA"/>
        </w:rPr>
        <w:t>,</w:t>
      </w:r>
      <w:r w:rsidR="00A74D5E" w:rsidRPr="00A74D5E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</w:t>
      </w:r>
      <w:r w:rsidRPr="007958EA">
        <w:rPr>
          <w:sz w:val="28"/>
          <w:szCs w:val="28"/>
          <w:lang w:val="uk-UA"/>
        </w:rPr>
        <w:t xml:space="preserve">тис.грн., в тому числі обсяг видатків загального фонду у сумі </w:t>
      </w:r>
      <w:r w:rsidR="00A74D5E">
        <w:rPr>
          <w:sz w:val="28"/>
          <w:szCs w:val="28"/>
          <w:lang w:val="uk-UA"/>
        </w:rPr>
        <w:t>185864,0</w:t>
      </w:r>
      <w:r>
        <w:rPr>
          <w:sz w:val="28"/>
          <w:szCs w:val="28"/>
          <w:lang w:val="uk-UA"/>
        </w:rPr>
        <w:t xml:space="preserve"> тис</w:t>
      </w:r>
      <w:r w:rsidRPr="007958EA">
        <w:rPr>
          <w:sz w:val="28"/>
          <w:szCs w:val="28"/>
          <w:lang w:val="uk-UA"/>
        </w:rPr>
        <w:t xml:space="preserve">.грн. та видатків спеціального фонду бюджету – </w:t>
      </w:r>
      <w:r w:rsidR="00461D31">
        <w:rPr>
          <w:sz w:val="28"/>
          <w:szCs w:val="28"/>
          <w:lang w:val="uk-UA"/>
        </w:rPr>
        <w:t>5772,4</w:t>
      </w:r>
      <w:r w:rsidRPr="007958EA">
        <w:rPr>
          <w:sz w:val="28"/>
          <w:szCs w:val="28"/>
          <w:lang w:val="uk-UA"/>
        </w:rPr>
        <w:t xml:space="preserve"> тис. гривень. </w:t>
      </w:r>
    </w:p>
    <w:p w:rsidR="00514AE7" w:rsidRDefault="00514AE7" w:rsidP="00514AE7">
      <w:pPr>
        <w:spacing w:line="340" w:lineRule="exact"/>
        <w:ind w:firstLine="851"/>
        <w:jc w:val="both"/>
        <w:rPr>
          <w:sz w:val="28"/>
          <w:szCs w:val="28"/>
          <w:lang w:val="uk-UA"/>
        </w:rPr>
      </w:pPr>
      <w:r w:rsidRPr="0037598F">
        <w:rPr>
          <w:sz w:val="28"/>
          <w:szCs w:val="28"/>
          <w:lang w:val="uk-UA"/>
        </w:rPr>
        <w:t>Згідно</w:t>
      </w:r>
      <w:r w:rsidRPr="00CF0550">
        <w:rPr>
          <w:color w:val="FF0000"/>
          <w:sz w:val="28"/>
          <w:szCs w:val="28"/>
          <w:lang w:val="uk-UA"/>
        </w:rPr>
        <w:t xml:space="preserve"> </w:t>
      </w:r>
      <w:r w:rsidRPr="00D8010F">
        <w:rPr>
          <w:sz w:val="28"/>
          <w:szCs w:val="28"/>
          <w:lang w:val="uk-UA"/>
        </w:rPr>
        <w:t>із статтею 8 Закону України „Про Державний бюджет України на 202</w:t>
      </w:r>
      <w:r w:rsidR="0083733C">
        <w:rPr>
          <w:sz w:val="28"/>
          <w:szCs w:val="28"/>
          <w:lang w:val="uk-UA"/>
        </w:rPr>
        <w:t>3</w:t>
      </w:r>
      <w:r w:rsidRPr="00D8010F">
        <w:rPr>
          <w:sz w:val="28"/>
          <w:szCs w:val="28"/>
          <w:lang w:val="uk-UA"/>
        </w:rPr>
        <w:t xml:space="preserve"> рік” у 202</w:t>
      </w:r>
      <w:r w:rsidR="0083733C">
        <w:rPr>
          <w:sz w:val="28"/>
          <w:szCs w:val="28"/>
          <w:lang w:val="uk-UA"/>
        </w:rPr>
        <w:t>3</w:t>
      </w:r>
      <w:r w:rsidRPr="00D8010F">
        <w:rPr>
          <w:sz w:val="28"/>
          <w:szCs w:val="28"/>
          <w:lang w:val="uk-UA"/>
        </w:rPr>
        <w:t xml:space="preserve"> році мінімальн</w:t>
      </w:r>
      <w:r w:rsidR="0083733C">
        <w:rPr>
          <w:sz w:val="28"/>
          <w:szCs w:val="28"/>
          <w:lang w:val="uk-UA"/>
        </w:rPr>
        <w:t>а</w:t>
      </w:r>
      <w:r w:rsidRPr="00D8010F">
        <w:rPr>
          <w:sz w:val="28"/>
          <w:szCs w:val="28"/>
          <w:lang w:val="uk-UA"/>
        </w:rPr>
        <w:t xml:space="preserve"> заробітн</w:t>
      </w:r>
      <w:r w:rsidR="0083733C">
        <w:rPr>
          <w:sz w:val="28"/>
          <w:szCs w:val="28"/>
          <w:lang w:val="uk-UA"/>
        </w:rPr>
        <w:t>а</w:t>
      </w:r>
      <w:r w:rsidRPr="00D8010F">
        <w:rPr>
          <w:sz w:val="28"/>
          <w:szCs w:val="28"/>
          <w:lang w:val="uk-UA"/>
        </w:rPr>
        <w:t xml:space="preserve"> плат</w:t>
      </w:r>
      <w:r w:rsidR="0083733C">
        <w:rPr>
          <w:sz w:val="28"/>
          <w:szCs w:val="28"/>
          <w:lang w:val="uk-UA"/>
        </w:rPr>
        <w:t>а</w:t>
      </w:r>
      <w:r w:rsidRPr="00D8010F">
        <w:rPr>
          <w:sz w:val="28"/>
          <w:szCs w:val="28"/>
          <w:lang w:val="uk-UA"/>
        </w:rPr>
        <w:t xml:space="preserve"> </w:t>
      </w:r>
      <w:r w:rsidR="0083733C">
        <w:rPr>
          <w:sz w:val="28"/>
          <w:szCs w:val="28"/>
          <w:lang w:val="uk-UA"/>
        </w:rPr>
        <w:t>установлена в розмірі 6700 гривень.</w:t>
      </w:r>
    </w:p>
    <w:p w:rsidR="00667F3D" w:rsidRDefault="00514AE7" w:rsidP="00514AE7">
      <w:pPr>
        <w:spacing w:before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Передбачені видатки на оплату праці працівників бюджетних установ  в загальній сумі </w:t>
      </w:r>
      <w:r w:rsidR="00A74D5E">
        <w:rPr>
          <w:sz w:val="28"/>
          <w:szCs w:val="28"/>
          <w:lang w:val="uk-UA"/>
        </w:rPr>
        <w:t>129940,1</w:t>
      </w:r>
      <w:r>
        <w:rPr>
          <w:sz w:val="28"/>
          <w:szCs w:val="28"/>
          <w:lang w:val="uk-UA"/>
        </w:rPr>
        <w:t xml:space="preserve"> тис.грн.</w:t>
      </w:r>
      <w:r w:rsidRPr="000460D6">
        <w:rPr>
          <w:sz w:val="28"/>
          <w:szCs w:val="28"/>
          <w:lang w:val="uk-UA"/>
        </w:rPr>
        <w:t xml:space="preserve"> </w:t>
      </w:r>
    </w:p>
    <w:p w:rsidR="00514AE7" w:rsidRDefault="00514AE7" w:rsidP="00514AE7">
      <w:pPr>
        <w:spacing w:before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Передбачено коштів на проведення розрахунків за комунальні послуги та енергоносії, що споживаються бюджетними установами в сумі </w:t>
      </w:r>
      <w:r w:rsidR="00667F3D">
        <w:rPr>
          <w:sz w:val="28"/>
          <w:szCs w:val="28"/>
          <w:lang w:val="uk-UA"/>
        </w:rPr>
        <w:t>18870,9</w:t>
      </w:r>
      <w:r>
        <w:rPr>
          <w:sz w:val="28"/>
          <w:szCs w:val="28"/>
          <w:lang w:val="uk-UA"/>
        </w:rPr>
        <w:t xml:space="preserve"> тис.грн. </w:t>
      </w:r>
    </w:p>
    <w:p w:rsidR="004356BF" w:rsidRDefault="00AC022F" w:rsidP="00AC022F">
      <w:pPr>
        <w:tabs>
          <w:tab w:val="left" w:pos="567"/>
          <w:tab w:val="left" w:pos="709"/>
        </w:tabs>
        <w:rPr>
          <w:sz w:val="28"/>
          <w:szCs w:val="28"/>
        </w:rPr>
      </w:pPr>
      <w:r w:rsidRPr="00AC022F">
        <w:rPr>
          <w:sz w:val="28"/>
          <w:szCs w:val="28"/>
        </w:rPr>
        <w:t xml:space="preserve">         </w:t>
      </w:r>
    </w:p>
    <w:p w:rsidR="004356BF" w:rsidRDefault="004356BF" w:rsidP="004356B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В</w:t>
      </w:r>
      <w:r w:rsidRPr="00670D6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Pr="00670D6D">
        <w:rPr>
          <w:sz w:val="28"/>
          <w:szCs w:val="28"/>
          <w:lang w:val="uk-UA"/>
        </w:rPr>
        <w:t xml:space="preserve"> році оплат</w:t>
      </w:r>
      <w:r>
        <w:rPr>
          <w:sz w:val="28"/>
          <w:szCs w:val="28"/>
          <w:lang w:val="uk-UA"/>
        </w:rPr>
        <w:t>а</w:t>
      </w:r>
      <w:r w:rsidRPr="00670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праці педагогічних працівників </w:t>
      </w:r>
      <w:r w:rsidRPr="00670D6D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670D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здійснюється коштами</w:t>
      </w:r>
      <w:r w:rsidRPr="00670D6D">
        <w:rPr>
          <w:sz w:val="28"/>
          <w:szCs w:val="28"/>
          <w:lang w:val="uk-UA"/>
        </w:rPr>
        <w:t xml:space="preserve"> освітньої</w:t>
      </w:r>
      <w:r>
        <w:rPr>
          <w:sz w:val="28"/>
          <w:szCs w:val="28"/>
          <w:lang w:val="uk-UA"/>
        </w:rPr>
        <w:t xml:space="preserve"> субвенції з державного бюджету, яка визначена для бюджету Носівської міської ТГ в сумі 52321</w:t>
      </w:r>
      <w:r w:rsidR="003237BE">
        <w:rPr>
          <w:sz w:val="28"/>
          <w:szCs w:val="28"/>
          <w:lang w:val="uk-UA"/>
        </w:rPr>
        <w:t>,</w:t>
      </w:r>
      <w:r w:rsidR="003237BE" w:rsidRPr="003237BE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тис.грн.</w:t>
      </w:r>
    </w:p>
    <w:p w:rsidR="00AC022F" w:rsidRDefault="004356BF" w:rsidP="00AC022F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C022F">
        <w:rPr>
          <w:sz w:val="28"/>
          <w:szCs w:val="28"/>
          <w:lang w:val="uk-UA"/>
        </w:rPr>
        <w:t xml:space="preserve">Враховані обсяги субвенцій передбачені проектом </w:t>
      </w:r>
      <w:r w:rsidR="00AC022F" w:rsidRPr="00744265">
        <w:rPr>
          <w:sz w:val="28"/>
          <w:szCs w:val="28"/>
          <w:lang w:val="uk-UA"/>
        </w:rPr>
        <w:t>обласного бюджету</w:t>
      </w:r>
      <w:r w:rsidR="00AC022F">
        <w:rPr>
          <w:sz w:val="28"/>
          <w:szCs w:val="28"/>
          <w:lang w:val="uk-UA"/>
        </w:rPr>
        <w:t xml:space="preserve"> на 20</w:t>
      </w:r>
      <w:r w:rsidR="00AC022F" w:rsidRPr="002C1D2F">
        <w:rPr>
          <w:sz w:val="28"/>
          <w:szCs w:val="28"/>
        </w:rPr>
        <w:t>2</w:t>
      </w:r>
      <w:r w:rsidR="00AC022F" w:rsidRPr="00AC022F">
        <w:rPr>
          <w:sz w:val="28"/>
          <w:szCs w:val="28"/>
        </w:rPr>
        <w:t>3</w:t>
      </w:r>
      <w:r w:rsidR="00AC022F">
        <w:rPr>
          <w:sz w:val="28"/>
          <w:szCs w:val="28"/>
          <w:lang w:val="uk-UA"/>
        </w:rPr>
        <w:t xml:space="preserve"> рік, </w:t>
      </w:r>
      <w:r w:rsidR="00AC022F" w:rsidRPr="006D0008">
        <w:rPr>
          <w:i/>
          <w:sz w:val="28"/>
          <w:szCs w:val="28"/>
          <w:lang w:val="uk-UA"/>
        </w:rPr>
        <w:t>із загального фонду бюджету</w:t>
      </w:r>
      <w:r w:rsidR="00AC022F">
        <w:rPr>
          <w:sz w:val="28"/>
          <w:szCs w:val="28"/>
          <w:lang w:val="uk-UA"/>
        </w:rPr>
        <w:t>:</w:t>
      </w:r>
    </w:p>
    <w:p w:rsidR="004356BF" w:rsidRDefault="004356BF" w:rsidP="00AC022F">
      <w:pPr>
        <w:tabs>
          <w:tab w:val="left" w:pos="567"/>
          <w:tab w:val="left" w:pos="709"/>
        </w:tabs>
      </w:pPr>
      <w:r>
        <w:rPr>
          <w:sz w:val="28"/>
          <w:szCs w:val="28"/>
          <w:lang w:val="uk-UA"/>
        </w:rPr>
        <w:t xml:space="preserve">           с</w:t>
      </w:r>
      <w:r w:rsidRPr="002B42A5">
        <w:rPr>
          <w:sz w:val="28"/>
          <w:szCs w:val="28"/>
          <w:lang w:val="uk-UA"/>
        </w:rPr>
        <w:t>убвенц</w:t>
      </w:r>
      <w:r>
        <w:rPr>
          <w:sz w:val="28"/>
          <w:szCs w:val="28"/>
          <w:lang w:val="uk-UA"/>
        </w:rPr>
        <w:t>ії</w:t>
      </w:r>
      <w:r w:rsidRPr="002B42A5">
        <w:rPr>
          <w:sz w:val="28"/>
          <w:szCs w:val="28"/>
          <w:lang w:val="uk-UA"/>
        </w:rPr>
        <w:t xml:space="preserve"> з місцевого бюджету на здійснення переданих видатків у сфері освіти за рахунок коштів освітньої субвенції</w:t>
      </w:r>
      <w:r>
        <w:rPr>
          <w:sz w:val="28"/>
          <w:szCs w:val="28"/>
          <w:lang w:val="uk-UA"/>
        </w:rPr>
        <w:t xml:space="preserve"> в сумі 670,4 тис.грн.;</w:t>
      </w:r>
    </w:p>
    <w:p w:rsidR="00AC022F" w:rsidRDefault="00AC022F" w:rsidP="00AC022F">
      <w:pPr>
        <w:jc w:val="both"/>
      </w:pPr>
      <w:r w:rsidRPr="00AC022F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>на пільгове медичне обслуговування осіб, які постраждали внаслідок Чорнобильської катастрофи в сумі 2</w:t>
      </w:r>
      <w:r w:rsidRPr="00AC022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,9 тис.грн.</w:t>
      </w:r>
    </w:p>
    <w:p w:rsidR="00EF30BF" w:rsidRPr="00AC022F" w:rsidRDefault="00EF30BF" w:rsidP="00514AE7">
      <w:pPr>
        <w:spacing w:before="60"/>
        <w:ind w:firstLine="720"/>
        <w:jc w:val="both"/>
        <w:rPr>
          <w:sz w:val="28"/>
          <w:szCs w:val="28"/>
        </w:rPr>
      </w:pPr>
    </w:p>
    <w:p w:rsidR="00514AE7" w:rsidRPr="00514AE7" w:rsidRDefault="00514AE7" w:rsidP="00514AE7">
      <w:pPr>
        <w:spacing w:after="160" w:line="259" w:lineRule="auto"/>
        <w:jc w:val="both"/>
        <w:rPr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Pr="002B42A5">
        <w:rPr>
          <w:rFonts w:eastAsia="Calibri"/>
          <w:sz w:val="28"/>
          <w:szCs w:val="28"/>
          <w:lang w:val="uk-UA"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</w:t>
      </w:r>
      <w:r w:rsidRPr="00514AE7">
        <w:rPr>
          <w:b/>
          <w:sz w:val="28"/>
          <w:szCs w:val="28"/>
          <w:lang w:val="uk-UA"/>
        </w:rPr>
        <w:t>Державне управління</w:t>
      </w:r>
    </w:p>
    <w:p w:rsidR="00514AE7" w:rsidRDefault="00514AE7" w:rsidP="00514AE7">
      <w:pPr>
        <w:tabs>
          <w:tab w:val="left" w:pos="567"/>
        </w:tabs>
        <w:spacing w:line="34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958EA">
        <w:rPr>
          <w:sz w:val="28"/>
          <w:szCs w:val="28"/>
          <w:lang w:val="uk-UA"/>
        </w:rPr>
        <w:t xml:space="preserve">На утримання </w:t>
      </w:r>
      <w:r>
        <w:rPr>
          <w:sz w:val="28"/>
          <w:szCs w:val="28"/>
          <w:lang w:val="uk-UA"/>
        </w:rPr>
        <w:t xml:space="preserve">виконавчого апарату міської ради та виконавчих органів міської ради </w:t>
      </w:r>
      <w:r w:rsidRPr="007958EA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</w:t>
      </w:r>
      <w:r w:rsidR="005466A1" w:rsidRPr="005466A1">
        <w:rPr>
          <w:sz w:val="28"/>
          <w:szCs w:val="28"/>
        </w:rPr>
        <w:t>3</w:t>
      </w:r>
      <w:r w:rsidRPr="007958EA">
        <w:rPr>
          <w:sz w:val="28"/>
          <w:szCs w:val="28"/>
          <w:lang w:val="uk-UA"/>
        </w:rPr>
        <w:t xml:space="preserve"> рік передбачаються видатки загального фонду у сумі </w:t>
      </w:r>
      <w:r w:rsidR="00996D3F" w:rsidRPr="00996D3F">
        <w:rPr>
          <w:sz w:val="28"/>
          <w:szCs w:val="28"/>
        </w:rPr>
        <w:t>20952</w:t>
      </w:r>
      <w:r w:rsidR="00996D3F">
        <w:rPr>
          <w:sz w:val="28"/>
          <w:szCs w:val="28"/>
          <w:lang w:val="uk-UA"/>
        </w:rPr>
        <w:t>,</w:t>
      </w:r>
      <w:r w:rsidR="00996D3F" w:rsidRPr="00996D3F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тис. грн. </w:t>
      </w:r>
      <w:r w:rsidRPr="007958EA">
        <w:rPr>
          <w:sz w:val="28"/>
          <w:szCs w:val="28"/>
          <w:lang w:val="uk-UA"/>
        </w:rPr>
        <w:t>На заробітну плату з нарахуваннями спрямов</w:t>
      </w:r>
      <w:r>
        <w:rPr>
          <w:sz w:val="28"/>
          <w:szCs w:val="28"/>
          <w:lang w:val="uk-UA"/>
        </w:rPr>
        <w:t xml:space="preserve">ується </w:t>
      </w:r>
      <w:r w:rsidR="00996D3F">
        <w:rPr>
          <w:sz w:val="28"/>
          <w:szCs w:val="28"/>
          <w:lang w:val="uk-UA"/>
        </w:rPr>
        <w:t>19451,3</w:t>
      </w:r>
      <w:r>
        <w:rPr>
          <w:sz w:val="28"/>
          <w:szCs w:val="28"/>
          <w:lang w:val="uk-UA"/>
        </w:rPr>
        <w:t xml:space="preserve"> тис.грн</w:t>
      </w:r>
      <w:r w:rsidRPr="007958EA">
        <w:rPr>
          <w:sz w:val="28"/>
          <w:szCs w:val="28"/>
          <w:lang w:val="uk-UA"/>
        </w:rPr>
        <w:t xml:space="preserve">., що становить </w:t>
      </w:r>
      <w:r>
        <w:rPr>
          <w:sz w:val="28"/>
          <w:szCs w:val="28"/>
          <w:lang w:val="uk-UA"/>
        </w:rPr>
        <w:t>92,8</w:t>
      </w:r>
      <w:r w:rsidRPr="007958EA">
        <w:rPr>
          <w:sz w:val="28"/>
          <w:szCs w:val="28"/>
          <w:lang w:val="uk-UA"/>
        </w:rPr>
        <w:t xml:space="preserve"> % до загальних видатків цієї галузі. Розрахунок видатків на заробітну плату проводився виходячи із діючих умов оплати праці на момент складання бюджету</w:t>
      </w:r>
      <w:r>
        <w:rPr>
          <w:sz w:val="28"/>
          <w:szCs w:val="28"/>
          <w:lang w:val="uk-UA"/>
        </w:rPr>
        <w:t>. Н</w:t>
      </w:r>
      <w:r w:rsidRPr="007958EA">
        <w:rPr>
          <w:sz w:val="28"/>
          <w:szCs w:val="28"/>
          <w:lang w:val="uk-UA"/>
        </w:rPr>
        <w:t>а оплату</w:t>
      </w:r>
      <w:r>
        <w:rPr>
          <w:sz w:val="28"/>
          <w:szCs w:val="28"/>
          <w:lang w:val="uk-UA"/>
        </w:rPr>
        <w:t xml:space="preserve"> комунальних послуг та</w:t>
      </w:r>
      <w:r w:rsidRPr="007958EA">
        <w:rPr>
          <w:sz w:val="28"/>
          <w:szCs w:val="28"/>
          <w:lang w:val="uk-UA"/>
        </w:rPr>
        <w:t xml:space="preserve"> енергоносіїв</w:t>
      </w:r>
      <w:r>
        <w:rPr>
          <w:sz w:val="28"/>
          <w:szCs w:val="28"/>
          <w:lang w:val="uk-UA"/>
        </w:rPr>
        <w:t xml:space="preserve"> заплановано</w:t>
      </w:r>
      <w:r w:rsidRPr="007958EA">
        <w:rPr>
          <w:sz w:val="28"/>
          <w:szCs w:val="28"/>
          <w:lang w:val="uk-UA"/>
        </w:rPr>
        <w:t xml:space="preserve"> – </w:t>
      </w:r>
      <w:r w:rsidR="00996D3F">
        <w:rPr>
          <w:sz w:val="28"/>
          <w:szCs w:val="28"/>
          <w:lang w:val="uk-UA"/>
        </w:rPr>
        <w:t>841,0</w:t>
      </w:r>
      <w:r w:rsidRPr="007958EA">
        <w:rPr>
          <w:sz w:val="28"/>
          <w:szCs w:val="28"/>
          <w:lang w:val="uk-UA"/>
        </w:rPr>
        <w:t xml:space="preserve"> тис.грн., або </w:t>
      </w:r>
      <w:r w:rsidR="00996D3F">
        <w:rPr>
          <w:sz w:val="28"/>
          <w:szCs w:val="28"/>
          <w:lang w:val="uk-UA"/>
        </w:rPr>
        <w:t>4,0</w:t>
      </w:r>
      <w:r w:rsidRPr="007958EA">
        <w:rPr>
          <w:sz w:val="28"/>
          <w:szCs w:val="28"/>
          <w:lang w:val="uk-UA"/>
        </w:rPr>
        <w:t xml:space="preserve"> % загального обсягу видатків. Видатки на оплату комунальних послуг розраховані виходячи із спожитих натуральних показників</w:t>
      </w:r>
      <w:r>
        <w:rPr>
          <w:sz w:val="28"/>
          <w:szCs w:val="28"/>
          <w:lang w:val="uk-UA"/>
        </w:rPr>
        <w:t xml:space="preserve"> поточного року </w:t>
      </w:r>
      <w:r w:rsidRPr="007958EA">
        <w:rPr>
          <w:sz w:val="28"/>
          <w:szCs w:val="28"/>
          <w:lang w:val="uk-UA"/>
        </w:rPr>
        <w:t>та діючих цін і тарифів.</w:t>
      </w:r>
    </w:p>
    <w:p w:rsidR="00514AE7" w:rsidRPr="007958EA" w:rsidRDefault="00514AE7" w:rsidP="00514AE7">
      <w:pPr>
        <w:tabs>
          <w:tab w:val="left" w:pos="567"/>
        </w:tabs>
        <w:spacing w:line="34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 виконання заходів відповідно до затверджених програм передбачені видатки в сумі </w:t>
      </w:r>
      <w:r w:rsidR="003A488B">
        <w:rPr>
          <w:sz w:val="28"/>
          <w:szCs w:val="28"/>
          <w:lang w:val="uk-UA"/>
        </w:rPr>
        <w:t>2071,0</w:t>
      </w:r>
      <w:r>
        <w:rPr>
          <w:sz w:val="28"/>
          <w:szCs w:val="28"/>
          <w:lang w:val="uk-UA"/>
        </w:rPr>
        <w:t xml:space="preserve"> тис.грн.</w:t>
      </w:r>
    </w:p>
    <w:p w:rsidR="00514AE7" w:rsidRDefault="00514AE7" w:rsidP="00514AE7">
      <w:pPr>
        <w:spacing w:line="340" w:lineRule="exact"/>
        <w:ind w:firstLine="709"/>
        <w:jc w:val="both"/>
        <w:rPr>
          <w:sz w:val="28"/>
          <w:szCs w:val="28"/>
          <w:lang w:val="uk-UA"/>
        </w:rPr>
      </w:pPr>
      <w:r w:rsidRPr="007958EA">
        <w:rPr>
          <w:sz w:val="28"/>
          <w:szCs w:val="28"/>
          <w:lang w:val="uk-UA"/>
        </w:rPr>
        <w:t>Обсяг спеціального фонду на 20</w:t>
      </w:r>
      <w:r>
        <w:rPr>
          <w:sz w:val="28"/>
          <w:szCs w:val="28"/>
          <w:lang w:val="uk-UA"/>
        </w:rPr>
        <w:t>2</w:t>
      </w:r>
      <w:r w:rsidR="003A488B">
        <w:rPr>
          <w:sz w:val="28"/>
          <w:szCs w:val="28"/>
          <w:lang w:val="uk-UA"/>
        </w:rPr>
        <w:t>3</w:t>
      </w:r>
      <w:r w:rsidRPr="007958EA">
        <w:rPr>
          <w:sz w:val="28"/>
          <w:szCs w:val="28"/>
          <w:lang w:val="uk-UA"/>
        </w:rPr>
        <w:t xml:space="preserve"> рік складає</w:t>
      </w:r>
      <w:r>
        <w:rPr>
          <w:sz w:val="28"/>
          <w:szCs w:val="28"/>
          <w:lang w:val="uk-UA"/>
        </w:rPr>
        <w:t xml:space="preserve"> </w:t>
      </w:r>
      <w:r w:rsidR="003A488B">
        <w:rPr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>,0</w:t>
      </w:r>
      <w:r w:rsidRPr="007958EA">
        <w:rPr>
          <w:sz w:val="28"/>
          <w:szCs w:val="28"/>
          <w:lang w:val="uk-UA"/>
        </w:rPr>
        <w:t xml:space="preserve"> тис. гривень. Спеціальний фонд сформовано за рахунок</w:t>
      </w:r>
      <w:r>
        <w:rPr>
          <w:sz w:val="28"/>
          <w:szCs w:val="28"/>
          <w:lang w:val="uk-UA"/>
        </w:rPr>
        <w:t xml:space="preserve"> </w:t>
      </w:r>
      <w:r w:rsidRPr="00157F0B">
        <w:rPr>
          <w:sz w:val="28"/>
          <w:szCs w:val="28"/>
          <w:lang w:val="uk-UA"/>
        </w:rPr>
        <w:t>власних надходжень бюджетних установ від здачі в оренду приміщень</w:t>
      </w:r>
      <w:r>
        <w:rPr>
          <w:sz w:val="28"/>
          <w:szCs w:val="28"/>
          <w:lang w:val="uk-UA"/>
        </w:rPr>
        <w:t>, що перебувають на балансі міської ради</w:t>
      </w:r>
      <w:r w:rsidRPr="00157F0B">
        <w:rPr>
          <w:sz w:val="28"/>
          <w:szCs w:val="28"/>
          <w:lang w:val="uk-UA"/>
        </w:rPr>
        <w:t xml:space="preserve">, кошти </w:t>
      </w:r>
      <w:r>
        <w:rPr>
          <w:sz w:val="28"/>
          <w:szCs w:val="28"/>
          <w:lang w:val="uk-UA"/>
        </w:rPr>
        <w:t>спрямовані на утримання, облаштування приміщень міської ради</w:t>
      </w:r>
      <w:r w:rsidRPr="00157F0B">
        <w:rPr>
          <w:sz w:val="28"/>
          <w:szCs w:val="28"/>
          <w:lang w:val="uk-UA"/>
        </w:rPr>
        <w:t>.</w:t>
      </w:r>
    </w:p>
    <w:p w:rsidR="00514AE7" w:rsidRPr="006405B7" w:rsidRDefault="00514AE7" w:rsidP="00514AE7">
      <w:pPr>
        <w:pStyle w:val="4"/>
        <w:spacing w:line="340" w:lineRule="exact"/>
        <w:jc w:val="center"/>
      </w:pPr>
      <w:r w:rsidRPr="006405B7">
        <w:t>Освіта</w:t>
      </w:r>
    </w:p>
    <w:p w:rsidR="005C78AC" w:rsidRPr="005D63C5" w:rsidRDefault="004356BF" w:rsidP="005C78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70D6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галузь пропонується спрямувати</w:t>
      </w:r>
      <w:r w:rsidRPr="00670D6D">
        <w:rPr>
          <w:sz w:val="28"/>
          <w:szCs w:val="28"/>
          <w:lang w:val="uk-UA"/>
        </w:rPr>
        <w:t xml:space="preserve"> </w:t>
      </w:r>
      <w:r w:rsidR="00AA0A08">
        <w:rPr>
          <w:sz w:val="28"/>
          <w:szCs w:val="28"/>
          <w:lang w:val="uk-UA"/>
        </w:rPr>
        <w:t>118721,3</w:t>
      </w:r>
      <w:r w:rsidRPr="00670D6D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>грн.</w:t>
      </w:r>
    </w:p>
    <w:p w:rsidR="00514AE7" w:rsidRDefault="00514AE7" w:rsidP="00514AE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670D6D">
        <w:rPr>
          <w:sz w:val="28"/>
          <w:szCs w:val="28"/>
          <w:lang w:val="uk-UA"/>
        </w:rPr>
        <w:t xml:space="preserve">На оплату праці передбачається </w:t>
      </w:r>
      <w:r w:rsidR="00AA0A08">
        <w:rPr>
          <w:sz w:val="28"/>
          <w:szCs w:val="28"/>
          <w:lang w:val="uk-UA"/>
        </w:rPr>
        <w:t>93056,1</w:t>
      </w:r>
      <w:r w:rsidRPr="00670D6D">
        <w:rPr>
          <w:sz w:val="28"/>
          <w:szCs w:val="28"/>
          <w:lang w:val="uk-UA"/>
        </w:rPr>
        <w:t xml:space="preserve"> тис.грн., на оплату комунальних послуг та енергоносіїв – </w:t>
      </w:r>
      <w:r w:rsidR="00A71EEA">
        <w:rPr>
          <w:sz w:val="28"/>
          <w:szCs w:val="28"/>
          <w:lang w:val="uk-UA"/>
        </w:rPr>
        <w:t>15958,5</w:t>
      </w:r>
      <w:r w:rsidRPr="00670D6D">
        <w:rPr>
          <w:sz w:val="28"/>
          <w:szCs w:val="28"/>
          <w:lang w:val="uk-UA"/>
        </w:rPr>
        <w:t xml:space="preserve"> тис. гривень.</w:t>
      </w:r>
    </w:p>
    <w:p w:rsidR="00514AE7" w:rsidRPr="006E3519" w:rsidRDefault="00514AE7" w:rsidP="00514AE7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 утримання закладів </w:t>
      </w:r>
      <w:r w:rsidRPr="001D10AB">
        <w:rPr>
          <w:i/>
          <w:sz w:val="28"/>
          <w:szCs w:val="28"/>
          <w:lang w:val="uk-UA"/>
        </w:rPr>
        <w:t>дошкільної освіти</w:t>
      </w:r>
      <w:r>
        <w:rPr>
          <w:sz w:val="28"/>
          <w:szCs w:val="28"/>
          <w:lang w:val="uk-UA"/>
        </w:rPr>
        <w:t xml:space="preserve"> спрямовується </w:t>
      </w:r>
      <w:r w:rsidR="006A0EB8">
        <w:rPr>
          <w:sz w:val="28"/>
          <w:szCs w:val="28"/>
          <w:lang w:val="uk-UA"/>
        </w:rPr>
        <w:t>15149,4</w:t>
      </w:r>
      <w:r>
        <w:rPr>
          <w:sz w:val="28"/>
          <w:szCs w:val="28"/>
          <w:lang w:val="uk-UA"/>
        </w:rPr>
        <w:t xml:space="preserve"> тис.грн. це на </w:t>
      </w:r>
      <w:r w:rsidR="006A0EB8">
        <w:rPr>
          <w:sz w:val="28"/>
          <w:szCs w:val="28"/>
          <w:lang w:val="uk-UA"/>
        </w:rPr>
        <w:t>1854,4</w:t>
      </w:r>
      <w:r>
        <w:rPr>
          <w:sz w:val="28"/>
          <w:szCs w:val="28"/>
          <w:lang w:val="uk-UA"/>
        </w:rPr>
        <w:t xml:space="preserve"> тис.грн. більше уточнених призначень 202</w:t>
      </w:r>
      <w:r w:rsidR="006A0EB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року. На заробітну плату з нарахування передбачається </w:t>
      </w:r>
      <w:r w:rsidR="003115FA">
        <w:rPr>
          <w:sz w:val="28"/>
          <w:szCs w:val="28"/>
          <w:lang w:val="uk-UA"/>
        </w:rPr>
        <w:t>11224,5</w:t>
      </w:r>
      <w:r>
        <w:rPr>
          <w:sz w:val="28"/>
          <w:szCs w:val="28"/>
          <w:lang w:val="uk-UA"/>
        </w:rPr>
        <w:t xml:space="preserve"> тис.грн., на оплату комунальних послуг та енергоносіїв </w:t>
      </w:r>
      <w:r w:rsidR="003115FA">
        <w:rPr>
          <w:sz w:val="28"/>
          <w:szCs w:val="28"/>
          <w:lang w:val="uk-UA"/>
        </w:rPr>
        <w:t>1439,6</w:t>
      </w:r>
      <w:r>
        <w:rPr>
          <w:sz w:val="28"/>
          <w:szCs w:val="28"/>
          <w:lang w:val="uk-UA"/>
        </w:rPr>
        <w:t xml:space="preserve"> тис.грн. Харчування дітей в дошкільних закладах забезпечується видатками загального та спеціального фонду бюджету,</w:t>
      </w:r>
      <w:r w:rsidRPr="000503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ці цілі передбачено </w:t>
      </w:r>
      <w:r w:rsidR="003115FA">
        <w:rPr>
          <w:sz w:val="28"/>
          <w:szCs w:val="28"/>
          <w:lang w:val="uk-UA"/>
        </w:rPr>
        <w:t>2172,7</w:t>
      </w:r>
      <w:r>
        <w:rPr>
          <w:sz w:val="28"/>
          <w:szCs w:val="28"/>
          <w:lang w:val="uk-UA"/>
        </w:rPr>
        <w:t xml:space="preserve"> тис.грн.</w:t>
      </w:r>
      <w:r w:rsidRPr="00720967">
        <w:rPr>
          <w:sz w:val="28"/>
          <w:szCs w:val="28"/>
          <w:lang w:val="uk-UA"/>
        </w:rPr>
        <w:t xml:space="preserve"> </w:t>
      </w:r>
      <w:r w:rsidRPr="007361C9">
        <w:rPr>
          <w:sz w:val="28"/>
          <w:szCs w:val="28"/>
          <w:lang w:val="uk-UA"/>
        </w:rPr>
        <w:t xml:space="preserve">Вартість харчування </w:t>
      </w:r>
      <w:r>
        <w:rPr>
          <w:sz w:val="28"/>
          <w:szCs w:val="28"/>
          <w:lang w:val="uk-UA"/>
        </w:rPr>
        <w:t>дітей</w:t>
      </w:r>
      <w:r w:rsidRPr="007361C9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дошкільних</w:t>
      </w:r>
      <w:r w:rsidRPr="007361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закладах </w:t>
      </w:r>
      <w:r w:rsidRPr="007361C9">
        <w:rPr>
          <w:sz w:val="28"/>
          <w:szCs w:val="28"/>
          <w:lang w:val="uk-UA"/>
        </w:rPr>
        <w:t xml:space="preserve">визначена в сумі в сумі </w:t>
      </w:r>
      <w:r w:rsidR="002D1C5B" w:rsidRPr="002D1C5B">
        <w:rPr>
          <w:sz w:val="28"/>
          <w:szCs w:val="28"/>
          <w:lang w:val="uk-UA"/>
        </w:rPr>
        <w:t>67</w:t>
      </w:r>
      <w:r w:rsidRPr="002D1C5B">
        <w:rPr>
          <w:sz w:val="28"/>
          <w:szCs w:val="28"/>
          <w:lang w:val="uk-UA"/>
        </w:rPr>
        <w:t>,00</w:t>
      </w:r>
      <w:r w:rsidRPr="007361C9">
        <w:rPr>
          <w:sz w:val="28"/>
          <w:szCs w:val="28"/>
          <w:lang w:val="uk-UA"/>
        </w:rPr>
        <w:t xml:space="preserve"> грн.</w:t>
      </w:r>
      <w:r w:rsidRPr="006E3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Спеціальний фонд сформований за рахунок власних надходжень бюджетних установ (плата батьків за харчування дітей в дошкільних закладах) в сумі </w:t>
      </w:r>
      <w:r w:rsidR="003115FA">
        <w:rPr>
          <w:sz w:val="28"/>
          <w:szCs w:val="28"/>
          <w:lang w:val="uk-UA"/>
        </w:rPr>
        <w:t>965,4</w:t>
      </w:r>
      <w:r>
        <w:rPr>
          <w:sz w:val="28"/>
          <w:szCs w:val="28"/>
          <w:lang w:val="uk-UA"/>
        </w:rPr>
        <w:t xml:space="preserve"> тис.грн. </w:t>
      </w:r>
      <w:r w:rsidR="003115FA">
        <w:rPr>
          <w:sz w:val="28"/>
          <w:szCs w:val="28"/>
          <w:lang w:val="uk-UA"/>
        </w:rPr>
        <w:t xml:space="preserve">та коштів переданих із загального фонду до бюджету розвитку спеціального фонду в сумі 1050,0 тис.грн. на </w:t>
      </w:r>
      <w:r w:rsidR="003115FA">
        <w:rPr>
          <w:sz w:val="28"/>
          <w:szCs w:val="28"/>
          <w:lang w:val="uk-UA"/>
        </w:rPr>
        <w:lastRenderedPageBreak/>
        <w:t xml:space="preserve">капітальний ремонт </w:t>
      </w:r>
      <w:r w:rsidR="0025340B">
        <w:rPr>
          <w:sz w:val="28"/>
          <w:szCs w:val="28"/>
          <w:lang w:val="uk-UA"/>
        </w:rPr>
        <w:t xml:space="preserve">захисної споруди цивільного захисту в підвальному приміщенні ДНЗ №1 «Барвінок». </w:t>
      </w:r>
    </w:p>
    <w:p w:rsidR="00514AE7" w:rsidRDefault="00514AE7" w:rsidP="00514AE7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237BE">
        <w:rPr>
          <w:sz w:val="28"/>
          <w:szCs w:val="28"/>
          <w:lang w:val="uk-UA"/>
        </w:rPr>
        <w:t xml:space="preserve">Видатки </w:t>
      </w:r>
      <w:r w:rsidR="0025340B" w:rsidRPr="003237BE">
        <w:rPr>
          <w:sz w:val="28"/>
          <w:szCs w:val="28"/>
          <w:lang w:val="uk-UA"/>
        </w:rPr>
        <w:t>на</w:t>
      </w:r>
      <w:r w:rsidRPr="003237BE">
        <w:rPr>
          <w:sz w:val="28"/>
          <w:szCs w:val="28"/>
          <w:lang w:val="uk-UA"/>
        </w:rPr>
        <w:t xml:space="preserve"> </w:t>
      </w:r>
      <w:r w:rsidR="0025340B" w:rsidRPr="003237BE">
        <w:rPr>
          <w:i/>
          <w:sz w:val="28"/>
          <w:szCs w:val="28"/>
          <w:lang w:val="uk-UA"/>
        </w:rPr>
        <w:t>надання загальної середньої</w:t>
      </w:r>
      <w:r w:rsidR="0025340B">
        <w:rPr>
          <w:i/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передбачені в сумі </w:t>
      </w:r>
      <w:r w:rsidR="005A77D9">
        <w:rPr>
          <w:sz w:val="28"/>
          <w:szCs w:val="28"/>
          <w:lang w:val="uk-UA"/>
        </w:rPr>
        <w:t>92270,</w:t>
      </w:r>
      <w:r w:rsidR="0025340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тис.грн., з них видатки загального фонду складають </w:t>
      </w:r>
      <w:r w:rsidR="005A77D9">
        <w:rPr>
          <w:sz w:val="28"/>
          <w:szCs w:val="28"/>
          <w:lang w:val="uk-UA"/>
        </w:rPr>
        <w:t>89894,8</w:t>
      </w:r>
      <w:r>
        <w:rPr>
          <w:sz w:val="28"/>
          <w:szCs w:val="28"/>
          <w:lang w:val="uk-UA"/>
        </w:rPr>
        <w:t xml:space="preserve"> тис.грн., спеціального фонду – </w:t>
      </w:r>
      <w:r w:rsidR="0025340B">
        <w:rPr>
          <w:sz w:val="28"/>
          <w:szCs w:val="28"/>
          <w:lang w:val="uk-UA"/>
        </w:rPr>
        <w:t>2375,4</w:t>
      </w:r>
      <w:r>
        <w:rPr>
          <w:sz w:val="28"/>
          <w:szCs w:val="28"/>
          <w:lang w:val="uk-UA"/>
        </w:rPr>
        <w:t xml:space="preserve"> тис.грн. </w:t>
      </w:r>
      <w:r w:rsidRPr="00ED49D0">
        <w:rPr>
          <w:sz w:val="28"/>
          <w:szCs w:val="28"/>
          <w:lang w:val="uk-UA"/>
        </w:rPr>
        <w:t>На заробітну плату</w:t>
      </w:r>
      <w:r>
        <w:rPr>
          <w:sz w:val="28"/>
          <w:szCs w:val="28"/>
          <w:lang w:val="uk-UA"/>
        </w:rPr>
        <w:t xml:space="preserve"> з нарахуваннями передбачається спрямувати </w:t>
      </w:r>
      <w:r w:rsidR="005A77D9">
        <w:rPr>
          <w:sz w:val="28"/>
          <w:szCs w:val="28"/>
          <w:lang w:val="uk-UA"/>
        </w:rPr>
        <w:t>70278,1</w:t>
      </w:r>
      <w:r>
        <w:rPr>
          <w:sz w:val="28"/>
          <w:szCs w:val="28"/>
          <w:lang w:val="uk-UA"/>
        </w:rPr>
        <w:t xml:space="preserve"> тис.грн., на оплату комунальних послуг та енергоносіїв – </w:t>
      </w:r>
      <w:r w:rsidR="00953976">
        <w:rPr>
          <w:sz w:val="28"/>
          <w:szCs w:val="28"/>
          <w:lang w:val="uk-UA"/>
        </w:rPr>
        <w:t>13289,6</w:t>
      </w:r>
      <w:r>
        <w:rPr>
          <w:sz w:val="28"/>
          <w:szCs w:val="28"/>
          <w:lang w:val="uk-UA"/>
        </w:rPr>
        <w:t xml:space="preserve"> тис.грн.</w:t>
      </w:r>
    </w:p>
    <w:p w:rsidR="003237BE" w:rsidRDefault="003237BE" w:rsidP="003237BE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670D6D">
        <w:rPr>
          <w:sz w:val="28"/>
          <w:szCs w:val="28"/>
          <w:lang w:val="uk-UA"/>
        </w:rPr>
        <w:t>Ф</w:t>
      </w:r>
      <w:r w:rsidRPr="00670D6D">
        <w:rPr>
          <w:bCs/>
          <w:sz w:val="28"/>
          <w:szCs w:val="28"/>
          <w:lang w:val="uk-UA"/>
        </w:rPr>
        <w:t>інансування заробітної плати педагогічним працівникам закладів</w:t>
      </w:r>
      <w:r>
        <w:rPr>
          <w:bCs/>
          <w:sz w:val="28"/>
          <w:szCs w:val="28"/>
          <w:lang w:val="uk-UA"/>
        </w:rPr>
        <w:t xml:space="preserve"> загальної середньої освіти</w:t>
      </w:r>
      <w:r w:rsidRPr="00670D6D">
        <w:rPr>
          <w:bCs/>
          <w:sz w:val="28"/>
          <w:szCs w:val="28"/>
          <w:lang w:val="uk-UA"/>
        </w:rPr>
        <w:t xml:space="preserve"> усіх ступенів та шкільних відділень НВК </w:t>
      </w:r>
      <w:r>
        <w:rPr>
          <w:bCs/>
          <w:sz w:val="28"/>
          <w:szCs w:val="28"/>
          <w:lang w:val="uk-UA"/>
        </w:rPr>
        <w:t>буде здійснюватися як і попередньому році за рахунок коштів</w:t>
      </w:r>
      <w:r w:rsidRPr="00670D6D">
        <w:rPr>
          <w:bCs/>
          <w:sz w:val="28"/>
          <w:szCs w:val="28"/>
          <w:lang w:val="uk-UA"/>
        </w:rPr>
        <w:t xml:space="preserve"> освітн</w:t>
      </w:r>
      <w:r>
        <w:rPr>
          <w:bCs/>
          <w:sz w:val="28"/>
          <w:szCs w:val="28"/>
          <w:lang w:val="uk-UA"/>
        </w:rPr>
        <w:t>ьої</w:t>
      </w:r>
      <w:r w:rsidRPr="00670D6D">
        <w:rPr>
          <w:bCs/>
          <w:sz w:val="28"/>
          <w:szCs w:val="28"/>
          <w:lang w:val="uk-UA"/>
        </w:rPr>
        <w:t xml:space="preserve"> субвенці</w:t>
      </w:r>
      <w:r>
        <w:rPr>
          <w:bCs/>
          <w:sz w:val="28"/>
          <w:szCs w:val="28"/>
          <w:lang w:val="uk-UA"/>
        </w:rPr>
        <w:t>ї</w:t>
      </w:r>
      <w:r w:rsidRPr="00670D6D">
        <w:rPr>
          <w:bCs/>
          <w:sz w:val="28"/>
          <w:szCs w:val="28"/>
          <w:lang w:val="uk-UA"/>
        </w:rPr>
        <w:t xml:space="preserve"> з державного бюджету в сумі </w:t>
      </w:r>
      <w:r>
        <w:rPr>
          <w:bCs/>
          <w:sz w:val="28"/>
          <w:szCs w:val="28"/>
          <w:lang w:val="uk-UA"/>
        </w:rPr>
        <w:t>52321,0</w:t>
      </w:r>
      <w:r w:rsidRPr="00670D6D">
        <w:rPr>
          <w:bCs/>
          <w:sz w:val="28"/>
          <w:szCs w:val="28"/>
          <w:lang w:val="uk-UA"/>
        </w:rPr>
        <w:t xml:space="preserve"> </w:t>
      </w:r>
      <w:r w:rsidRPr="00670D6D">
        <w:rPr>
          <w:sz w:val="28"/>
          <w:szCs w:val="28"/>
          <w:lang w:val="uk-UA"/>
        </w:rPr>
        <w:t>тис. гривень</w:t>
      </w:r>
      <w:r>
        <w:rPr>
          <w:sz w:val="28"/>
          <w:szCs w:val="28"/>
          <w:lang w:val="uk-UA"/>
        </w:rPr>
        <w:t>, яка</w:t>
      </w:r>
      <w:r w:rsidRPr="00701DDD">
        <w:rPr>
          <w:sz w:val="28"/>
          <w:szCs w:val="28"/>
          <w:lang w:val="uk-UA"/>
        </w:rPr>
        <w:t xml:space="preserve"> у повному обсязі забезпеч</w:t>
      </w:r>
      <w:r>
        <w:rPr>
          <w:sz w:val="28"/>
          <w:szCs w:val="28"/>
          <w:lang w:val="uk-UA"/>
        </w:rPr>
        <w:t>ує</w:t>
      </w:r>
      <w:r w:rsidRPr="00701DDD">
        <w:rPr>
          <w:sz w:val="28"/>
          <w:szCs w:val="28"/>
          <w:lang w:val="uk-UA"/>
        </w:rPr>
        <w:t xml:space="preserve"> потреб</w:t>
      </w:r>
      <w:r>
        <w:rPr>
          <w:sz w:val="28"/>
          <w:szCs w:val="28"/>
          <w:lang w:val="uk-UA"/>
        </w:rPr>
        <w:t>у</w:t>
      </w:r>
      <w:r w:rsidRPr="00701DDD">
        <w:rPr>
          <w:sz w:val="28"/>
          <w:szCs w:val="28"/>
          <w:lang w:val="uk-UA"/>
        </w:rPr>
        <w:t xml:space="preserve"> установ у видатках на оплату праці педпрацівників</w:t>
      </w:r>
      <w:r>
        <w:rPr>
          <w:sz w:val="28"/>
          <w:szCs w:val="28"/>
          <w:lang w:val="uk-UA"/>
        </w:rPr>
        <w:t>.</w:t>
      </w:r>
    </w:p>
    <w:p w:rsidR="00514AE7" w:rsidRDefault="00514AE7" w:rsidP="00514AE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670D6D">
        <w:rPr>
          <w:sz w:val="28"/>
          <w:szCs w:val="28"/>
          <w:lang w:val="uk-UA"/>
        </w:rPr>
        <w:t>На</w:t>
      </w:r>
      <w:r w:rsidRPr="00670D6D">
        <w:rPr>
          <w:lang w:val="uk-UA"/>
        </w:rPr>
        <w:t xml:space="preserve"> </w:t>
      </w:r>
      <w:r w:rsidRPr="00670D6D">
        <w:rPr>
          <w:sz w:val="28"/>
          <w:szCs w:val="28"/>
          <w:lang w:val="uk-UA"/>
        </w:rPr>
        <w:t xml:space="preserve">харчування дітей-сиріт, дітей позбавлених батьківського піклування, та </w:t>
      </w:r>
      <w:r>
        <w:rPr>
          <w:sz w:val="28"/>
          <w:szCs w:val="28"/>
          <w:lang w:val="uk-UA"/>
        </w:rPr>
        <w:t>учнів</w:t>
      </w:r>
      <w:r w:rsidRPr="00670D6D">
        <w:rPr>
          <w:sz w:val="28"/>
          <w:szCs w:val="28"/>
          <w:lang w:val="uk-UA"/>
        </w:rPr>
        <w:t xml:space="preserve"> малозабезпечених сімей, дітей дошкільного віку в НВК</w:t>
      </w:r>
      <w:r>
        <w:rPr>
          <w:sz w:val="28"/>
          <w:szCs w:val="28"/>
          <w:lang w:val="uk-UA"/>
        </w:rPr>
        <w:t xml:space="preserve"> </w:t>
      </w:r>
      <w:r w:rsidRPr="00670D6D">
        <w:rPr>
          <w:sz w:val="28"/>
          <w:szCs w:val="28"/>
          <w:lang w:val="uk-UA"/>
        </w:rPr>
        <w:t xml:space="preserve">передбачається спрямувати </w:t>
      </w:r>
      <w:r w:rsidR="00953976">
        <w:rPr>
          <w:sz w:val="28"/>
          <w:szCs w:val="28"/>
          <w:lang w:val="uk-UA"/>
        </w:rPr>
        <w:t>1197</w:t>
      </w:r>
      <w:r>
        <w:rPr>
          <w:sz w:val="28"/>
          <w:szCs w:val="28"/>
          <w:lang w:val="uk-UA"/>
        </w:rPr>
        <w:t>,0 тис.грн. видатків загального фонду бюджету громади.</w:t>
      </w:r>
      <w:r w:rsidRPr="00670D6D">
        <w:rPr>
          <w:sz w:val="28"/>
          <w:szCs w:val="28"/>
          <w:lang w:val="uk-UA"/>
        </w:rPr>
        <w:t xml:space="preserve"> Вартість харчування 1 дитини в день у загальноосвітніх школах запланована виходячи із розрахунку коштів бюджету та коштів спеціального фонду</w:t>
      </w:r>
      <w:r>
        <w:rPr>
          <w:sz w:val="28"/>
          <w:szCs w:val="28"/>
          <w:lang w:val="uk-UA"/>
        </w:rPr>
        <w:t xml:space="preserve"> і складає</w:t>
      </w:r>
      <w:r w:rsidRPr="007361C9">
        <w:rPr>
          <w:sz w:val="28"/>
          <w:szCs w:val="28"/>
          <w:lang w:val="uk-UA"/>
        </w:rPr>
        <w:t xml:space="preserve"> </w:t>
      </w:r>
      <w:r w:rsidR="007A4F4D" w:rsidRPr="002D1C5B">
        <w:rPr>
          <w:sz w:val="28"/>
          <w:szCs w:val="28"/>
          <w:shd w:val="clear" w:color="auto" w:fill="FFFFFF"/>
        </w:rPr>
        <w:t>35</w:t>
      </w:r>
      <w:r w:rsidRPr="002D1C5B">
        <w:rPr>
          <w:sz w:val="28"/>
          <w:szCs w:val="28"/>
          <w:shd w:val="clear" w:color="auto" w:fill="FFFFFF"/>
          <w:lang w:val="uk-UA"/>
        </w:rPr>
        <w:t>,0</w:t>
      </w:r>
      <w:r w:rsidR="00384B68" w:rsidRPr="002D1C5B">
        <w:rPr>
          <w:sz w:val="28"/>
          <w:szCs w:val="28"/>
          <w:shd w:val="clear" w:color="auto" w:fill="FFFFFF"/>
        </w:rPr>
        <w:t>0</w:t>
      </w:r>
      <w:r w:rsidRPr="007361C9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ривень</w:t>
      </w:r>
      <w:r w:rsidRPr="007361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 спеціальному фонду заплановано видатків у сумі </w:t>
      </w:r>
      <w:r w:rsidR="00ED49D0">
        <w:rPr>
          <w:sz w:val="28"/>
          <w:szCs w:val="28"/>
          <w:lang w:val="uk-UA"/>
        </w:rPr>
        <w:t>2375,4</w:t>
      </w:r>
      <w:r>
        <w:rPr>
          <w:sz w:val="28"/>
          <w:szCs w:val="28"/>
          <w:lang w:val="uk-UA"/>
        </w:rPr>
        <w:t xml:space="preserve"> тис.грн., за рахунок власних надходжень бюджетних установ.</w:t>
      </w:r>
    </w:p>
    <w:p w:rsidR="00514AE7" w:rsidRDefault="00514AE7" w:rsidP="00514AE7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утримання </w:t>
      </w:r>
      <w:r w:rsidRPr="000404A9">
        <w:rPr>
          <w:i/>
          <w:sz w:val="28"/>
          <w:szCs w:val="28"/>
          <w:lang w:val="uk-UA"/>
        </w:rPr>
        <w:t>закладів позашкільної освіти</w:t>
      </w:r>
      <w:r>
        <w:rPr>
          <w:i/>
          <w:sz w:val="28"/>
          <w:szCs w:val="28"/>
          <w:lang w:val="uk-UA"/>
        </w:rPr>
        <w:t>,</w:t>
      </w:r>
      <w:r w:rsidRPr="006E50AC">
        <w:rPr>
          <w:sz w:val="28"/>
          <w:szCs w:val="28"/>
          <w:lang w:val="uk-UA"/>
        </w:rPr>
        <w:t xml:space="preserve"> підпорядк</w:t>
      </w:r>
      <w:r>
        <w:rPr>
          <w:sz w:val="28"/>
          <w:szCs w:val="28"/>
          <w:lang w:val="uk-UA"/>
        </w:rPr>
        <w:t xml:space="preserve">ованих відділу освіти, сім’ї, молоді та спорту передбачено </w:t>
      </w:r>
      <w:r w:rsidR="00ED49D0">
        <w:rPr>
          <w:sz w:val="28"/>
          <w:szCs w:val="28"/>
          <w:lang w:val="uk-UA"/>
        </w:rPr>
        <w:t>3271,3</w:t>
      </w:r>
      <w:r>
        <w:rPr>
          <w:sz w:val="28"/>
          <w:szCs w:val="28"/>
          <w:lang w:val="uk-UA"/>
        </w:rPr>
        <w:t xml:space="preserve"> тис.грн. На заробітну плату з нарахуваннями спрямовано </w:t>
      </w:r>
      <w:r w:rsidR="00ED49D0">
        <w:rPr>
          <w:sz w:val="28"/>
          <w:szCs w:val="28"/>
          <w:lang w:val="uk-UA"/>
        </w:rPr>
        <w:t>2451,9</w:t>
      </w:r>
      <w:r>
        <w:rPr>
          <w:sz w:val="28"/>
          <w:szCs w:val="28"/>
          <w:lang w:val="uk-UA"/>
        </w:rPr>
        <w:t xml:space="preserve"> тис.грн., на оплату енергоносіїв </w:t>
      </w:r>
      <w:r w:rsidR="00ED49D0">
        <w:rPr>
          <w:sz w:val="28"/>
          <w:szCs w:val="28"/>
          <w:lang w:val="uk-UA"/>
        </w:rPr>
        <w:t>535,9</w:t>
      </w:r>
      <w:r>
        <w:rPr>
          <w:sz w:val="28"/>
          <w:szCs w:val="28"/>
          <w:lang w:val="uk-UA"/>
        </w:rPr>
        <w:t xml:space="preserve"> тис.грн. На забезпечення інших видатків та проведення заходів позашкільними закладами пропонується виділити </w:t>
      </w:r>
      <w:r w:rsidR="00ED49D0">
        <w:rPr>
          <w:sz w:val="28"/>
          <w:szCs w:val="28"/>
          <w:lang w:val="uk-UA"/>
        </w:rPr>
        <w:t>283,5</w:t>
      </w:r>
      <w:r>
        <w:rPr>
          <w:sz w:val="28"/>
          <w:szCs w:val="28"/>
          <w:lang w:val="uk-UA"/>
        </w:rPr>
        <w:t xml:space="preserve"> тис.грн. </w:t>
      </w:r>
    </w:p>
    <w:p w:rsidR="00514AE7" w:rsidRDefault="00514AE7" w:rsidP="00514AE7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культури і туризму міської ради на утримання позашкільного закладу «Носівська школа мистецтв» передбачено </w:t>
      </w:r>
      <w:r w:rsidR="008C7697">
        <w:rPr>
          <w:sz w:val="28"/>
          <w:szCs w:val="28"/>
          <w:lang w:val="uk-UA"/>
        </w:rPr>
        <w:t>5555,5</w:t>
      </w:r>
      <w:r>
        <w:rPr>
          <w:sz w:val="28"/>
          <w:szCs w:val="28"/>
          <w:lang w:val="uk-UA"/>
        </w:rPr>
        <w:t xml:space="preserve"> тис.грн. На заробітну плату з нарахуваннями заплановано </w:t>
      </w:r>
      <w:r w:rsidR="005325D9">
        <w:rPr>
          <w:sz w:val="28"/>
          <w:szCs w:val="28"/>
          <w:lang w:val="uk-UA"/>
        </w:rPr>
        <w:t>4969,3</w:t>
      </w:r>
      <w:r>
        <w:rPr>
          <w:sz w:val="28"/>
          <w:szCs w:val="28"/>
          <w:lang w:val="uk-UA"/>
        </w:rPr>
        <w:t xml:space="preserve"> тис.грн., на оплату комунальних послуг та енергоносіїв – 45</w:t>
      </w:r>
      <w:r w:rsidR="005325D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="005325D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тис.грн. на інші видатки – </w:t>
      </w:r>
      <w:r w:rsidR="005325D9">
        <w:rPr>
          <w:sz w:val="28"/>
          <w:szCs w:val="28"/>
          <w:lang w:val="uk-UA"/>
        </w:rPr>
        <w:t>129</w:t>
      </w:r>
      <w:r>
        <w:rPr>
          <w:sz w:val="28"/>
          <w:szCs w:val="28"/>
          <w:lang w:val="uk-UA"/>
        </w:rPr>
        <w:t xml:space="preserve"> тис.грн. коштів загального фонду бюджету. </w:t>
      </w:r>
      <w:r w:rsidRPr="00670D6D">
        <w:rPr>
          <w:sz w:val="28"/>
          <w:szCs w:val="28"/>
          <w:lang w:val="uk-UA"/>
        </w:rPr>
        <w:t xml:space="preserve">Спеціальний фонд </w:t>
      </w:r>
      <w:r>
        <w:rPr>
          <w:sz w:val="28"/>
          <w:szCs w:val="28"/>
          <w:lang w:val="uk-UA"/>
        </w:rPr>
        <w:t>закладу</w:t>
      </w:r>
      <w:r w:rsidRPr="00670D6D">
        <w:rPr>
          <w:sz w:val="28"/>
          <w:szCs w:val="28"/>
          <w:lang w:val="uk-UA"/>
        </w:rPr>
        <w:t xml:space="preserve"> сформований </w:t>
      </w:r>
      <w:r>
        <w:rPr>
          <w:sz w:val="28"/>
          <w:szCs w:val="28"/>
          <w:lang w:val="uk-UA"/>
        </w:rPr>
        <w:t xml:space="preserve">за рахунок </w:t>
      </w:r>
      <w:r w:rsidRPr="00670D6D">
        <w:rPr>
          <w:sz w:val="28"/>
          <w:szCs w:val="28"/>
          <w:lang w:val="uk-UA"/>
        </w:rPr>
        <w:t>власних надходжень бюджетних установ</w:t>
      </w:r>
      <w:r>
        <w:rPr>
          <w:sz w:val="28"/>
          <w:szCs w:val="28"/>
          <w:lang w:val="uk-UA"/>
        </w:rPr>
        <w:t xml:space="preserve"> в загальній сумі </w:t>
      </w:r>
      <w:r w:rsidR="005325D9">
        <w:rPr>
          <w:sz w:val="28"/>
          <w:szCs w:val="28"/>
          <w:lang w:val="uk-UA"/>
        </w:rPr>
        <w:t>184,6</w:t>
      </w:r>
      <w:r>
        <w:rPr>
          <w:sz w:val="28"/>
          <w:szCs w:val="28"/>
          <w:lang w:val="uk-UA"/>
        </w:rPr>
        <w:t xml:space="preserve"> тис. грн., кошти спрямовані на утримання та оновлення матеріально - технічної бази школи мистецтв.</w:t>
      </w:r>
      <w:r w:rsidRPr="00670D6D">
        <w:rPr>
          <w:sz w:val="28"/>
          <w:szCs w:val="28"/>
          <w:lang w:val="uk-UA"/>
        </w:rPr>
        <w:t xml:space="preserve"> </w:t>
      </w:r>
    </w:p>
    <w:p w:rsidR="00514AE7" w:rsidRDefault="00514AE7" w:rsidP="00514AE7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496B7A">
        <w:rPr>
          <w:i/>
          <w:sz w:val="28"/>
          <w:szCs w:val="28"/>
          <w:lang w:val="uk-UA"/>
        </w:rPr>
        <w:t>інші заклади освіти</w:t>
      </w:r>
      <w:r>
        <w:rPr>
          <w:i/>
          <w:sz w:val="28"/>
          <w:szCs w:val="28"/>
          <w:lang w:val="uk-UA"/>
        </w:rPr>
        <w:t xml:space="preserve">, </w:t>
      </w:r>
      <w:r w:rsidRPr="00356DB7">
        <w:rPr>
          <w:sz w:val="28"/>
          <w:szCs w:val="28"/>
          <w:lang w:val="uk-UA"/>
        </w:rPr>
        <w:t>включаючи методичне забезпечення діяльності навчальних закладів</w:t>
      </w:r>
      <w:r>
        <w:rPr>
          <w:sz w:val="28"/>
          <w:szCs w:val="28"/>
          <w:lang w:val="uk-UA"/>
        </w:rPr>
        <w:t xml:space="preserve">, передбачено </w:t>
      </w:r>
      <w:r w:rsidR="006F62D5">
        <w:rPr>
          <w:sz w:val="28"/>
          <w:szCs w:val="28"/>
          <w:lang w:val="uk-UA"/>
        </w:rPr>
        <w:t>4011,3</w:t>
      </w:r>
      <w:r>
        <w:rPr>
          <w:sz w:val="28"/>
          <w:szCs w:val="28"/>
          <w:lang w:val="uk-UA"/>
        </w:rPr>
        <w:t xml:space="preserve"> тис.грн., з них </w:t>
      </w:r>
      <w:r w:rsidR="006F62D5">
        <w:rPr>
          <w:sz w:val="28"/>
          <w:szCs w:val="28"/>
          <w:lang w:val="uk-UA"/>
        </w:rPr>
        <w:t>3436,2</w:t>
      </w:r>
      <w:r>
        <w:rPr>
          <w:sz w:val="28"/>
          <w:szCs w:val="28"/>
          <w:lang w:val="uk-UA"/>
        </w:rPr>
        <w:t xml:space="preserve"> тис.грн. спрямовано на заробітну плату з нарахуваннями та </w:t>
      </w:r>
      <w:r w:rsidR="006F62D5">
        <w:rPr>
          <w:sz w:val="28"/>
          <w:szCs w:val="28"/>
          <w:lang w:val="uk-UA"/>
        </w:rPr>
        <w:t>236,2</w:t>
      </w:r>
      <w:r>
        <w:rPr>
          <w:sz w:val="28"/>
          <w:szCs w:val="28"/>
          <w:lang w:val="uk-UA"/>
        </w:rPr>
        <w:t xml:space="preserve"> тис.грн. на комунальні послуги та енергоносії. </w:t>
      </w:r>
    </w:p>
    <w:p w:rsidR="003237BE" w:rsidRDefault="003237BE" w:rsidP="00514AE7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550D1D">
        <w:rPr>
          <w:i/>
          <w:sz w:val="28"/>
          <w:szCs w:val="28"/>
          <w:lang w:val="uk-UA"/>
        </w:rPr>
        <w:t>забезпечення діяльності інклюзивно-ресурсного центру</w:t>
      </w:r>
      <w:r>
        <w:rPr>
          <w:i/>
          <w:sz w:val="28"/>
          <w:szCs w:val="28"/>
          <w:lang w:val="uk-UA"/>
        </w:rPr>
        <w:t xml:space="preserve"> </w:t>
      </w:r>
      <w:r w:rsidRPr="00742A00">
        <w:rPr>
          <w:sz w:val="28"/>
          <w:szCs w:val="28"/>
          <w:lang w:val="uk-UA"/>
        </w:rPr>
        <w:t>заплановано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731,4 тис.грн., з них за рахунок с</w:t>
      </w:r>
      <w:r w:rsidRPr="002B42A5">
        <w:rPr>
          <w:sz w:val="28"/>
          <w:szCs w:val="28"/>
          <w:lang w:val="uk-UA"/>
        </w:rPr>
        <w:t>убвенц</w:t>
      </w:r>
      <w:r>
        <w:rPr>
          <w:sz w:val="28"/>
          <w:szCs w:val="28"/>
          <w:lang w:val="uk-UA"/>
        </w:rPr>
        <w:t>ії</w:t>
      </w:r>
      <w:r w:rsidRPr="002B42A5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обласного</w:t>
      </w:r>
      <w:r w:rsidRPr="002B42A5">
        <w:rPr>
          <w:sz w:val="28"/>
          <w:szCs w:val="28"/>
          <w:lang w:val="uk-UA"/>
        </w:rPr>
        <w:t xml:space="preserve"> бюджету на здійснення переданих видатків у сфері освіти за рахунок коштів освітньої субвенції</w:t>
      </w:r>
      <w:r>
        <w:rPr>
          <w:sz w:val="28"/>
          <w:szCs w:val="28"/>
          <w:lang w:val="uk-UA"/>
        </w:rPr>
        <w:t xml:space="preserve"> в сумі 670,4 тис.грн., на оплату праці з нарахуваннями педагогічних працівників центру. Обсяг субвенції розподілений </w:t>
      </w:r>
      <w:r w:rsidRPr="009B0A6B">
        <w:rPr>
          <w:sz w:val="28"/>
          <w:szCs w:val="28"/>
          <w:lang w:val="uk-UA"/>
        </w:rPr>
        <w:t xml:space="preserve">за пропозицією Управління освіти і науки облдержадміністрації відповідно до постанови Кабінету Міністрів </w:t>
      </w:r>
      <w:r w:rsidRPr="009B0A6B">
        <w:rPr>
          <w:sz w:val="28"/>
          <w:szCs w:val="28"/>
          <w:lang w:val="uk-UA"/>
        </w:rPr>
        <w:lastRenderedPageBreak/>
        <w:t>України від 14.01.2015 № 6 пропорційно фактичній чисельності штатних одиниць педагогічних працівників інклюзивно</w:t>
      </w:r>
      <w:r>
        <w:rPr>
          <w:sz w:val="28"/>
          <w:szCs w:val="28"/>
          <w:lang w:val="uk-UA"/>
        </w:rPr>
        <w:t>-</w:t>
      </w:r>
      <w:r w:rsidRPr="009B0A6B">
        <w:rPr>
          <w:sz w:val="28"/>
          <w:szCs w:val="28"/>
          <w:lang w:val="uk-UA"/>
        </w:rPr>
        <w:t>ресурсних центрів.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 рахунок коштів місцевого бюджету спрямовано 61,0 тис.грн., з них на заробітну плату обслуговуючого персоналу центру передбачено 25,7 тис.грн. на інші видатки для забезпечення функціонування закладу - 35,3 тис.грн.</w:t>
      </w:r>
    </w:p>
    <w:p w:rsidR="00514AE7" w:rsidRDefault="00514AE7" w:rsidP="00514AE7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програм та заходів у сфері освіти в бюджеті на 2022 рік заплановано </w:t>
      </w:r>
      <w:r w:rsidR="008C7697">
        <w:rPr>
          <w:sz w:val="28"/>
          <w:szCs w:val="28"/>
          <w:lang w:val="uk-UA"/>
        </w:rPr>
        <w:t>107,6</w:t>
      </w:r>
      <w:r>
        <w:rPr>
          <w:sz w:val="28"/>
          <w:szCs w:val="28"/>
          <w:lang w:val="uk-UA"/>
        </w:rPr>
        <w:t xml:space="preserve"> тис.грн.</w:t>
      </w:r>
    </w:p>
    <w:p w:rsidR="00514AE7" w:rsidRDefault="00514AE7" w:rsidP="00514AE7">
      <w:pPr>
        <w:spacing w:before="12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DD50A4">
        <w:rPr>
          <w:b/>
          <w:sz w:val="28"/>
          <w:szCs w:val="28"/>
          <w:lang w:val="uk-UA"/>
        </w:rPr>
        <w:t xml:space="preserve">Охорона здоров’я </w:t>
      </w:r>
    </w:p>
    <w:p w:rsidR="00B720C9" w:rsidRDefault="00B720C9" w:rsidP="00514AE7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514AE7" w:rsidRDefault="00514AE7" w:rsidP="00514AE7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DF054C">
        <w:rPr>
          <w:sz w:val="28"/>
          <w:szCs w:val="28"/>
          <w:lang w:val="uk-UA"/>
        </w:rPr>
        <w:t>На галузь «Охорона здоров’я» в бюджеті передбач</w:t>
      </w:r>
      <w:r>
        <w:rPr>
          <w:sz w:val="28"/>
          <w:szCs w:val="28"/>
          <w:lang w:val="uk-UA"/>
        </w:rPr>
        <w:t>ається спрямувати</w:t>
      </w:r>
      <w:r w:rsidRPr="00DF054C">
        <w:rPr>
          <w:sz w:val="28"/>
          <w:szCs w:val="28"/>
          <w:lang w:val="uk-UA"/>
        </w:rPr>
        <w:t xml:space="preserve"> </w:t>
      </w:r>
      <w:r w:rsidR="00B720C9">
        <w:rPr>
          <w:sz w:val="28"/>
          <w:szCs w:val="28"/>
          <w:lang w:val="uk-UA"/>
        </w:rPr>
        <w:t>3200</w:t>
      </w:r>
      <w:r>
        <w:rPr>
          <w:sz w:val="28"/>
          <w:szCs w:val="28"/>
          <w:lang w:val="uk-UA"/>
        </w:rPr>
        <w:t>,0</w:t>
      </w:r>
      <w:r w:rsidRPr="00DF054C">
        <w:rPr>
          <w:sz w:val="28"/>
          <w:szCs w:val="28"/>
          <w:lang w:val="uk-UA"/>
        </w:rPr>
        <w:t xml:space="preserve"> тис.грн. </w:t>
      </w:r>
    </w:p>
    <w:p w:rsidR="002A3277" w:rsidRDefault="00514AE7" w:rsidP="00514AE7">
      <w:pPr>
        <w:autoSpaceDE w:val="0"/>
        <w:autoSpaceDN w:val="0"/>
        <w:ind w:firstLine="924"/>
        <w:jc w:val="both"/>
        <w:rPr>
          <w:sz w:val="28"/>
          <w:szCs w:val="28"/>
          <w:lang w:val="uk-UA"/>
        </w:rPr>
      </w:pPr>
      <w:r w:rsidRPr="00DF054C">
        <w:rPr>
          <w:sz w:val="28"/>
          <w:szCs w:val="28"/>
          <w:lang w:val="uk-UA"/>
        </w:rPr>
        <w:t>На виконання</w:t>
      </w:r>
      <w:r w:rsidR="00863F96">
        <w:rPr>
          <w:sz w:val="28"/>
          <w:szCs w:val="28"/>
          <w:lang w:val="uk-UA"/>
        </w:rPr>
        <w:t xml:space="preserve"> заходів</w:t>
      </w:r>
      <w:r w:rsidRPr="00DF054C">
        <w:rPr>
          <w:sz w:val="28"/>
          <w:szCs w:val="28"/>
          <w:lang w:val="uk-UA"/>
        </w:rPr>
        <w:t xml:space="preserve"> програми фінансової підтримки КНП Носівська </w:t>
      </w:r>
      <w:r>
        <w:rPr>
          <w:sz w:val="28"/>
          <w:szCs w:val="28"/>
          <w:lang w:val="uk-UA"/>
        </w:rPr>
        <w:t>міська</w:t>
      </w:r>
      <w:r w:rsidRPr="00DF0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лікарня </w:t>
      </w:r>
      <w:r w:rsidRPr="00DF054C">
        <w:rPr>
          <w:sz w:val="28"/>
          <w:szCs w:val="28"/>
          <w:lang w:val="uk-UA"/>
        </w:rPr>
        <w:t xml:space="preserve">ім.Ф.Я.Примака </w:t>
      </w:r>
      <w:r>
        <w:rPr>
          <w:sz w:val="28"/>
          <w:szCs w:val="28"/>
          <w:lang w:val="uk-UA"/>
        </w:rPr>
        <w:t>передбачено</w:t>
      </w:r>
      <w:r w:rsidRPr="00DF054C">
        <w:rPr>
          <w:sz w:val="28"/>
          <w:szCs w:val="28"/>
          <w:lang w:val="uk-UA"/>
        </w:rPr>
        <w:t xml:space="preserve"> </w:t>
      </w:r>
      <w:r w:rsidR="00863F96">
        <w:rPr>
          <w:sz w:val="28"/>
          <w:szCs w:val="28"/>
          <w:lang w:val="uk-UA"/>
        </w:rPr>
        <w:t>2250</w:t>
      </w:r>
      <w:r w:rsidRPr="00DF054C">
        <w:rPr>
          <w:sz w:val="28"/>
          <w:szCs w:val="28"/>
          <w:lang w:val="uk-UA"/>
        </w:rPr>
        <w:t>,0 тис.грн</w:t>
      </w:r>
      <w:r w:rsidR="002A3277">
        <w:rPr>
          <w:sz w:val="28"/>
          <w:szCs w:val="28"/>
          <w:lang w:val="uk-UA"/>
        </w:rPr>
        <w:t>.</w:t>
      </w:r>
    </w:p>
    <w:p w:rsidR="00514AE7" w:rsidRDefault="00514AE7" w:rsidP="00514AE7">
      <w:pPr>
        <w:autoSpaceDE w:val="0"/>
        <w:autoSpaceDN w:val="0"/>
        <w:ind w:firstLine="924"/>
        <w:jc w:val="both"/>
        <w:rPr>
          <w:sz w:val="28"/>
          <w:szCs w:val="28"/>
          <w:lang w:val="uk-UA"/>
        </w:rPr>
      </w:pPr>
      <w:r w:rsidRPr="00DF054C">
        <w:rPr>
          <w:sz w:val="28"/>
          <w:szCs w:val="28"/>
          <w:lang w:val="uk-UA"/>
        </w:rPr>
        <w:t>На виконання</w:t>
      </w:r>
      <w:r w:rsidR="002A3277">
        <w:rPr>
          <w:sz w:val="28"/>
          <w:szCs w:val="28"/>
          <w:lang w:val="uk-UA"/>
        </w:rPr>
        <w:t xml:space="preserve"> заходів</w:t>
      </w:r>
      <w:r w:rsidRPr="00DF054C">
        <w:rPr>
          <w:sz w:val="28"/>
          <w:szCs w:val="28"/>
          <w:lang w:val="uk-UA"/>
        </w:rPr>
        <w:t xml:space="preserve"> програми фінансової підтримки Комунального некомерційного підприємства «Носівський центр первинної медико-санітарної допомоги» передбачено </w:t>
      </w:r>
      <w:r w:rsidR="00863F96" w:rsidRPr="00747376">
        <w:rPr>
          <w:sz w:val="28"/>
          <w:szCs w:val="28"/>
          <w:lang w:val="uk-UA"/>
        </w:rPr>
        <w:t>9</w:t>
      </w:r>
      <w:r w:rsidRPr="00747376">
        <w:rPr>
          <w:sz w:val="28"/>
          <w:szCs w:val="28"/>
          <w:lang w:val="uk-UA"/>
        </w:rPr>
        <w:t>50,0 тис.грн.</w:t>
      </w:r>
      <w:r w:rsidR="00C1369E">
        <w:rPr>
          <w:sz w:val="28"/>
          <w:szCs w:val="28"/>
          <w:lang w:val="uk-UA"/>
        </w:rPr>
        <w:t xml:space="preserve"> </w:t>
      </w:r>
    </w:p>
    <w:p w:rsidR="00514AE7" w:rsidRPr="006405B7" w:rsidRDefault="00514AE7" w:rsidP="00514AE7">
      <w:pPr>
        <w:spacing w:before="120" w:after="120"/>
        <w:ind w:firstLine="720"/>
        <w:jc w:val="center"/>
        <w:rPr>
          <w:b/>
          <w:sz w:val="28"/>
          <w:szCs w:val="28"/>
          <w:lang w:val="uk-UA"/>
        </w:rPr>
      </w:pPr>
      <w:r w:rsidRPr="006405B7">
        <w:rPr>
          <w:b/>
          <w:sz w:val="28"/>
          <w:szCs w:val="28"/>
          <w:lang w:val="uk-UA"/>
        </w:rPr>
        <w:t>Соціальний захист та соціальне забезпечення</w:t>
      </w:r>
    </w:p>
    <w:p w:rsidR="00514AE7" w:rsidRPr="002D2F80" w:rsidRDefault="00514AE7" w:rsidP="00514AE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D2F80">
        <w:rPr>
          <w:sz w:val="28"/>
          <w:szCs w:val="28"/>
          <w:lang w:val="uk-UA"/>
        </w:rPr>
        <w:t xml:space="preserve">Пріоритетними завданнями галузі </w:t>
      </w:r>
      <w:r>
        <w:rPr>
          <w:sz w:val="28"/>
          <w:szCs w:val="28"/>
          <w:lang w:val="uk-UA"/>
        </w:rPr>
        <w:t>в 202</w:t>
      </w:r>
      <w:r w:rsidR="00863F9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 </w:t>
      </w:r>
      <w:r w:rsidRPr="002D2F80">
        <w:rPr>
          <w:sz w:val="28"/>
          <w:szCs w:val="28"/>
          <w:lang w:val="uk-UA"/>
        </w:rPr>
        <w:t xml:space="preserve">будуть: </w:t>
      </w:r>
      <w:r>
        <w:rPr>
          <w:sz w:val="28"/>
          <w:szCs w:val="28"/>
          <w:lang w:val="uk-UA"/>
        </w:rPr>
        <w:t>з</w:t>
      </w:r>
      <w:r w:rsidRPr="002D2F80">
        <w:rPr>
          <w:color w:val="auto"/>
          <w:sz w:val="28"/>
          <w:szCs w:val="28"/>
          <w:lang w:val="uk-UA"/>
        </w:rPr>
        <w:t>абезпечення соціальної підтримки осіб і сімей, які її потребуватимуть</w:t>
      </w:r>
      <w:r>
        <w:rPr>
          <w:color w:val="auto"/>
          <w:sz w:val="28"/>
          <w:szCs w:val="28"/>
          <w:lang w:val="uk-UA"/>
        </w:rPr>
        <w:t>,</w:t>
      </w:r>
      <w:r w:rsidRPr="002D2F80">
        <w:rPr>
          <w:color w:val="auto"/>
          <w:sz w:val="28"/>
          <w:szCs w:val="28"/>
          <w:lang w:val="uk-UA"/>
        </w:rPr>
        <w:t xml:space="preserve"> забезпечення ефективної соціальної підтримки населення та розвиток соціальних послуг. </w:t>
      </w:r>
    </w:p>
    <w:p w:rsidR="00514AE7" w:rsidRDefault="00514AE7" w:rsidP="00514AE7">
      <w:pPr>
        <w:spacing w:line="34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утримання установ соціального забезпечення та фінансування програм соціального захисту населення планується спрямувати </w:t>
      </w:r>
      <w:r w:rsidR="00F122A4">
        <w:rPr>
          <w:sz w:val="28"/>
          <w:szCs w:val="28"/>
          <w:lang w:val="uk-UA"/>
        </w:rPr>
        <w:t>112</w:t>
      </w:r>
      <w:r w:rsidR="00AC022F">
        <w:rPr>
          <w:sz w:val="28"/>
          <w:szCs w:val="28"/>
          <w:lang w:val="uk-UA"/>
        </w:rPr>
        <w:t>62</w:t>
      </w:r>
      <w:r w:rsidR="00F122A4">
        <w:rPr>
          <w:sz w:val="28"/>
          <w:szCs w:val="28"/>
          <w:lang w:val="uk-UA"/>
        </w:rPr>
        <w:t>,</w:t>
      </w:r>
      <w:r w:rsidR="00AC022F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тис. грн, із яких видатки загального фонду бюджету – </w:t>
      </w:r>
      <w:r w:rsidR="00D873F8">
        <w:rPr>
          <w:sz w:val="28"/>
          <w:szCs w:val="28"/>
          <w:lang w:val="uk-UA"/>
        </w:rPr>
        <w:t>11100,1</w:t>
      </w:r>
      <w:r>
        <w:rPr>
          <w:sz w:val="28"/>
          <w:szCs w:val="28"/>
        </w:rPr>
        <w:t xml:space="preserve"> тис.</w:t>
      </w:r>
      <w:r w:rsidR="00F122A4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рн</w:t>
      </w:r>
      <w:r w:rsidR="00F122A4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(більше </w:t>
      </w:r>
      <w:r>
        <w:rPr>
          <w:sz w:val="28"/>
          <w:szCs w:val="28"/>
          <w:lang w:val="uk-UA"/>
        </w:rPr>
        <w:t>уточнених</w:t>
      </w:r>
      <w:r>
        <w:rPr>
          <w:sz w:val="28"/>
          <w:szCs w:val="28"/>
        </w:rPr>
        <w:t xml:space="preserve"> показників поточного року на </w:t>
      </w:r>
      <w:r w:rsidR="00F122A4">
        <w:rPr>
          <w:sz w:val="28"/>
          <w:szCs w:val="28"/>
          <w:lang w:val="uk-UA"/>
        </w:rPr>
        <w:t>4</w:t>
      </w:r>
      <w:r w:rsidR="00D873F8">
        <w:rPr>
          <w:sz w:val="28"/>
          <w:szCs w:val="28"/>
          <w:lang w:val="uk-UA"/>
        </w:rPr>
        <w:t>78</w:t>
      </w:r>
      <w:r w:rsidR="00F122A4">
        <w:rPr>
          <w:sz w:val="28"/>
          <w:szCs w:val="28"/>
          <w:lang w:val="uk-UA"/>
        </w:rPr>
        <w:t>,</w:t>
      </w:r>
      <w:r w:rsidR="00D873F8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тис. грн.</w:t>
      </w:r>
      <w:r>
        <w:rPr>
          <w:sz w:val="28"/>
          <w:szCs w:val="28"/>
          <w:lang w:val="uk-UA"/>
        </w:rPr>
        <w:t xml:space="preserve">) </w:t>
      </w:r>
    </w:p>
    <w:p w:rsidR="00514AE7" w:rsidRDefault="00514AE7" w:rsidP="00514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утримання територіального центру міської ради, центру соціальних служб для дітей, сім’ї та молоді, централізованої бухгалтерії відділу спрямовується коштів бюджету в загальній сумі </w:t>
      </w:r>
      <w:r w:rsidR="00F122A4">
        <w:rPr>
          <w:sz w:val="28"/>
          <w:szCs w:val="28"/>
          <w:lang w:val="uk-UA"/>
        </w:rPr>
        <w:t>8668,2</w:t>
      </w:r>
      <w:r>
        <w:rPr>
          <w:sz w:val="28"/>
          <w:szCs w:val="28"/>
          <w:lang w:val="uk-UA"/>
        </w:rPr>
        <w:t xml:space="preserve"> тис. грн., в тому числі за рахунок спеціального фонду в сумі </w:t>
      </w:r>
      <w:r w:rsidR="00F122A4">
        <w:rPr>
          <w:sz w:val="28"/>
          <w:szCs w:val="28"/>
          <w:lang w:val="uk-UA"/>
        </w:rPr>
        <w:t>162</w:t>
      </w:r>
      <w:r>
        <w:rPr>
          <w:sz w:val="28"/>
          <w:szCs w:val="28"/>
          <w:lang w:val="uk-UA"/>
        </w:rPr>
        <w:t xml:space="preserve">,0 тис. грн. На оплату праці з нарахуваннями передбачається </w:t>
      </w:r>
      <w:r w:rsidR="00F122A4">
        <w:rPr>
          <w:sz w:val="28"/>
          <w:szCs w:val="28"/>
          <w:lang w:val="uk-UA"/>
        </w:rPr>
        <w:t>7957,0</w:t>
      </w:r>
      <w:r>
        <w:rPr>
          <w:sz w:val="28"/>
          <w:szCs w:val="28"/>
          <w:lang w:val="uk-UA"/>
        </w:rPr>
        <w:t xml:space="preserve"> тис. грн., на оплату комунальних послуг  та енергоносіїв </w:t>
      </w:r>
      <w:r w:rsidR="00F122A4">
        <w:rPr>
          <w:sz w:val="28"/>
          <w:szCs w:val="28"/>
          <w:lang w:val="uk-UA"/>
        </w:rPr>
        <w:t>310,5</w:t>
      </w:r>
      <w:r>
        <w:rPr>
          <w:sz w:val="28"/>
          <w:szCs w:val="28"/>
          <w:lang w:val="uk-UA"/>
        </w:rPr>
        <w:t xml:space="preserve"> тис.грн., що становить </w:t>
      </w:r>
      <w:r w:rsidR="00F122A4">
        <w:rPr>
          <w:sz w:val="28"/>
          <w:szCs w:val="28"/>
          <w:lang w:val="uk-UA"/>
        </w:rPr>
        <w:t>95,4</w:t>
      </w:r>
      <w:r>
        <w:rPr>
          <w:sz w:val="28"/>
          <w:szCs w:val="28"/>
          <w:lang w:val="uk-UA"/>
        </w:rPr>
        <w:t xml:space="preserve"> % загального обсягу фінансування. Спеціальний фонд сформований за рахунок за рахунок власних надходжень бюджетних установ в сумі </w:t>
      </w:r>
      <w:r w:rsidR="00F122A4">
        <w:rPr>
          <w:sz w:val="28"/>
          <w:szCs w:val="28"/>
          <w:lang w:val="uk-UA"/>
        </w:rPr>
        <w:t>162</w:t>
      </w:r>
      <w:r>
        <w:rPr>
          <w:sz w:val="28"/>
          <w:szCs w:val="28"/>
          <w:lang w:val="uk-UA"/>
        </w:rPr>
        <w:t>,0 тис.грн. (надання платних соціальних послуг), бюджетні призначення спрямовані на покриття витрат, пов’язаних з організацією та наданням таких послуг.</w:t>
      </w:r>
    </w:p>
    <w:p w:rsidR="00514AE7" w:rsidRDefault="00514AE7" w:rsidP="00514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57EA3">
        <w:rPr>
          <w:sz w:val="28"/>
          <w:szCs w:val="28"/>
          <w:lang w:val="uk-UA"/>
        </w:rPr>
        <w:t xml:space="preserve">В бюджеті </w:t>
      </w:r>
      <w:r>
        <w:rPr>
          <w:sz w:val="28"/>
          <w:szCs w:val="28"/>
          <w:lang w:val="uk-UA"/>
        </w:rPr>
        <w:t xml:space="preserve">територіальної громади </w:t>
      </w:r>
      <w:r w:rsidRPr="00E57EA3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</w:t>
      </w:r>
      <w:r w:rsidR="00F122A4">
        <w:rPr>
          <w:sz w:val="28"/>
          <w:szCs w:val="28"/>
          <w:lang w:val="uk-UA"/>
        </w:rPr>
        <w:t>3</w:t>
      </w:r>
      <w:r w:rsidRPr="00E57EA3">
        <w:rPr>
          <w:sz w:val="28"/>
          <w:szCs w:val="28"/>
          <w:lang w:val="uk-UA"/>
        </w:rPr>
        <w:t xml:space="preserve"> рік передбачені видатки на фінансування  програм</w:t>
      </w:r>
      <w:r>
        <w:rPr>
          <w:sz w:val="28"/>
          <w:szCs w:val="28"/>
          <w:lang w:val="uk-UA"/>
        </w:rPr>
        <w:t xml:space="preserve">, що виконуються: </w:t>
      </w:r>
    </w:p>
    <w:p w:rsidR="00C266EE" w:rsidRDefault="00514AE7" w:rsidP="00514AE7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C266EE">
        <w:rPr>
          <w:i/>
          <w:sz w:val="28"/>
          <w:szCs w:val="28"/>
          <w:lang w:val="uk-UA"/>
        </w:rPr>
        <w:t>відділом</w:t>
      </w:r>
      <w:r w:rsidRPr="00A01243">
        <w:rPr>
          <w:i/>
          <w:sz w:val="28"/>
          <w:szCs w:val="28"/>
          <w:lang w:val="uk-UA"/>
        </w:rPr>
        <w:t xml:space="preserve"> соціального захисту міської ради</w:t>
      </w:r>
      <w:r>
        <w:rPr>
          <w:i/>
          <w:sz w:val="28"/>
          <w:szCs w:val="28"/>
          <w:lang w:val="uk-UA"/>
        </w:rPr>
        <w:t xml:space="preserve"> </w:t>
      </w:r>
      <w:r w:rsidRPr="004A051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виплати компенсації фізичним особам, які надають соціальні послуги з догляду на непрофесійній основі – </w:t>
      </w:r>
      <w:r w:rsidR="00C266EE" w:rsidRPr="00C266E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60,0 тис.грн., на надання пільг окремим категоріям громадян з оплати послуг зв’язку – 40,0 тис.грн.,</w:t>
      </w:r>
      <w:r w:rsidRPr="002C25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забезпечення пільгового перевезення автомобільним транспортом в сумі 500,0 тис. грн., залізничним транспортом – 300,0 тис.грн., надання підтримки громадянам, що отримують програмний гемодіаліз в сумі 1</w:t>
      </w:r>
      <w:r w:rsidR="00C266EE" w:rsidRPr="00C266E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0,0 тис.грн.,</w:t>
      </w:r>
      <w:r w:rsidRPr="00B865B3">
        <w:rPr>
          <w:rFonts w:eastAsia="Arial Unicode MS"/>
          <w:lang w:val="uk-UA"/>
        </w:rPr>
        <w:t xml:space="preserve"> </w:t>
      </w:r>
      <w:r w:rsidRPr="00B865B3">
        <w:rPr>
          <w:rFonts w:eastAsia="Arial Unicode MS"/>
          <w:sz w:val="28"/>
          <w:szCs w:val="28"/>
          <w:lang w:val="uk-UA"/>
        </w:rPr>
        <w:t xml:space="preserve">надання </w:t>
      </w:r>
      <w:r>
        <w:rPr>
          <w:rFonts w:eastAsia="Arial Unicode MS"/>
          <w:sz w:val="28"/>
          <w:szCs w:val="28"/>
          <w:lang w:val="uk-UA"/>
        </w:rPr>
        <w:t xml:space="preserve">одноразової </w:t>
      </w:r>
      <w:r w:rsidRPr="00B865B3">
        <w:rPr>
          <w:rFonts w:eastAsia="Arial Unicode MS"/>
          <w:sz w:val="28"/>
          <w:szCs w:val="28"/>
          <w:lang w:val="uk-UA"/>
        </w:rPr>
        <w:t xml:space="preserve">соціальної матеріальної </w:t>
      </w:r>
      <w:r w:rsidRPr="00B865B3">
        <w:rPr>
          <w:rFonts w:eastAsia="Arial Unicode MS"/>
          <w:sz w:val="28"/>
          <w:szCs w:val="28"/>
          <w:lang w:val="uk-UA"/>
        </w:rPr>
        <w:lastRenderedPageBreak/>
        <w:t xml:space="preserve">грошової допомоги </w:t>
      </w:r>
      <w:r>
        <w:rPr>
          <w:rFonts w:eastAsia="Arial Unicode MS"/>
          <w:sz w:val="28"/>
          <w:szCs w:val="28"/>
          <w:lang w:val="uk-UA"/>
        </w:rPr>
        <w:t>жителям</w:t>
      </w:r>
      <w:r w:rsidRPr="00B865B3">
        <w:rPr>
          <w:rFonts w:eastAsia="Arial Unicode MS"/>
          <w:sz w:val="28"/>
          <w:szCs w:val="28"/>
          <w:lang w:val="uk-UA"/>
        </w:rPr>
        <w:t xml:space="preserve"> Носівської ТГ, які перебувають у складних життєвих обставинах</w:t>
      </w:r>
      <w:r>
        <w:rPr>
          <w:rFonts w:eastAsia="Arial Unicode MS"/>
          <w:sz w:val="28"/>
          <w:szCs w:val="28"/>
          <w:lang w:val="uk-UA"/>
        </w:rPr>
        <w:t xml:space="preserve"> - </w:t>
      </w:r>
      <w:r w:rsidR="00C266EE" w:rsidRPr="00C266EE">
        <w:rPr>
          <w:rFonts w:eastAsia="Arial Unicode MS"/>
          <w:sz w:val="28"/>
          <w:szCs w:val="28"/>
          <w:lang w:val="uk-UA"/>
        </w:rPr>
        <w:t>5</w:t>
      </w:r>
      <w:r>
        <w:rPr>
          <w:rFonts w:eastAsia="Arial Unicode MS"/>
          <w:sz w:val="28"/>
          <w:szCs w:val="28"/>
          <w:lang w:val="uk-UA"/>
        </w:rPr>
        <w:t>00,0 тис.грн.,</w:t>
      </w:r>
      <w:r w:rsidRPr="00A74A37">
        <w:rPr>
          <w:lang w:val="uk-UA"/>
        </w:rPr>
        <w:t xml:space="preserve"> </w:t>
      </w:r>
      <w:r w:rsidRPr="00A74A37">
        <w:rPr>
          <w:rFonts w:eastAsia="Arial Unicode MS"/>
          <w:sz w:val="28"/>
          <w:szCs w:val="28"/>
          <w:lang w:val="uk-UA"/>
        </w:rPr>
        <w:t>компенсаці</w:t>
      </w:r>
      <w:r>
        <w:rPr>
          <w:rFonts w:eastAsia="Arial Unicode MS"/>
          <w:sz w:val="28"/>
          <w:szCs w:val="28"/>
          <w:lang w:val="uk-UA"/>
        </w:rPr>
        <w:t>ю</w:t>
      </w:r>
      <w:r w:rsidRPr="00A74A37">
        <w:rPr>
          <w:rFonts w:eastAsia="Arial Unicode MS"/>
          <w:sz w:val="28"/>
          <w:szCs w:val="28"/>
          <w:lang w:val="uk-UA"/>
        </w:rPr>
        <w:t xml:space="preserve"> за придбані технічні засоби (підгузки) при реалізації індивідуальних програм реабілітації для дітей з інвалідністю</w:t>
      </w:r>
      <w:r>
        <w:rPr>
          <w:rFonts w:eastAsia="Arial Unicode MS"/>
          <w:sz w:val="28"/>
          <w:szCs w:val="28"/>
          <w:lang w:val="uk-UA"/>
        </w:rPr>
        <w:t xml:space="preserve"> - 2</w:t>
      </w:r>
      <w:r w:rsidR="00C266EE" w:rsidRPr="00C266EE">
        <w:rPr>
          <w:rFonts w:eastAsia="Arial Unicode MS"/>
          <w:sz w:val="28"/>
          <w:szCs w:val="28"/>
          <w:lang w:val="uk-UA"/>
        </w:rPr>
        <w:t>9</w:t>
      </w:r>
      <w:r>
        <w:rPr>
          <w:rFonts w:eastAsia="Arial Unicode MS"/>
          <w:sz w:val="28"/>
          <w:szCs w:val="28"/>
          <w:lang w:val="uk-UA"/>
        </w:rPr>
        <w:t>0,0 тис.грн., на заходи програми</w:t>
      </w:r>
      <w:r w:rsidRPr="00A74A37">
        <w:rPr>
          <w:lang w:val="uk-UA"/>
        </w:rPr>
        <w:t xml:space="preserve"> </w:t>
      </w:r>
      <w:r w:rsidRPr="00A74A37">
        <w:rPr>
          <w:rFonts w:eastAsia="Arial Unicode MS"/>
          <w:sz w:val="28"/>
          <w:szCs w:val="28"/>
          <w:lang w:val="uk-UA"/>
        </w:rPr>
        <w:t>соціальної підтримки населення Носівської громади «Турбота»</w:t>
      </w:r>
      <w:r>
        <w:rPr>
          <w:rFonts w:eastAsia="Arial Unicode MS"/>
          <w:sz w:val="28"/>
          <w:szCs w:val="28"/>
          <w:lang w:val="uk-UA"/>
        </w:rPr>
        <w:t xml:space="preserve"> - 70,0 тис.грн</w:t>
      </w:r>
      <w:r w:rsidR="00C266EE">
        <w:rPr>
          <w:rFonts w:eastAsia="Arial Unicode MS"/>
          <w:sz w:val="28"/>
          <w:szCs w:val="28"/>
          <w:lang w:val="uk-UA"/>
        </w:rPr>
        <w:t>.</w:t>
      </w:r>
      <w:r w:rsidR="00D873F8">
        <w:rPr>
          <w:rFonts w:eastAsia="Arial Unicode MS"/>
          <w:sz w:val="28"/>
          <w:szCs w:val="28"/>
          <w:lang w:val="uk-UA"/>
        </w:rPr>
        <w:t>,</w:t>
      </w:r>
      <w:r w:rsidR="00D873F8" w:rsidRPr="00D873F8">
        <w:rPr>
          <w:rFonts w:eastAsia="Arial Unicode MS"/>
          <w:sz w:val="28"/>
          <w:szCs w:val="28"/>
          <w:lang w:val="uk-UA"/>
        </w:rPr>
        <w:t xml:space="preserve"> </w:t>
      </w:r>
      <w:r w:rsidR="00D873F8">
        <w:rPr>
          <w:rFonts w:eastAsia="Arial Unicode MS"/>
          <w:sz w:val="28"/>
          <w:szCs w:val="28"/>
          <w:lang w:val="uk-UA"/>
        </w:rPr>
        <w:t>пільгове медичне обслуговування осіб, які постраждали внаслідок Чорнобильської катастрофи - 2</w:t>
      </w:r>
      <w:r w:rsidR="005A77D9">
        <w:rPr>
          <w:rFonts w:eastAsia="Arial Unicode MS"/>
          <w:sz w:val="28"/>
          <w:szCs w:val="28"/>
          <w:lang w:val="uk-UA"/>
        </w:rPr>
        <w:t>3</w:t>
      </w:r>
      <w:r w:rsidR="00D873F8">
        <w:rPr>
          <w:rFonts w:eastAsia="Arial Unicode MS"/>
          <w:sz w:val="28"/>
          <w:szCs w:val="28"/>
          <w:lang w:val="uk-UA"/>
        </w:rPr>
        <w:t xml:space="preserve">,9 тис.грн. (за рахунок субвенції з обласного бюджету). </w:t>
      </w:r>
    </w:p>
    <w:p w:rsidR="00514AE7" w:rsidRDefault="00514AE7" w:rsidP="00514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A01243">
        <w:rPr>
          <w:i/>
          <w:sz w:val="28"/>
          <w:szCs w:val="28"/>
          <w:lang w:val="uk-UA"/>
        </w:rPr>
        <w:t>виконавчим апаратом міської ради</w:t>
      </w:r>
      <w:r>
        <w:rPr>
          <w:i/>
          <w:sz w:val="28"/>
          <w:szCs w:val="28"/>
          <w:lang w:val="uk-UA"/>
        </w:rPr>
        <w:t xml:space="preserve"> </w:t>
      </w:r>
      <w:r w:rsidRPr="00A01243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заходи державної політики з питань дітей та їх соціального захисту - 30,0 тис.грн., на виконання заходів програми фінансової підтримки громадської організації ветеранів – </w:t>
      </w:r>
      <w:r w:rsidR="00C266EE">
        <w:rPr>
          <w:sz w:val="28"/>
          <w:szCs w:val="28"/>
          <w:lang w:val="uk-UA"/>
        </w:rPr>
        <w:t>158</w:t>
      </w:r>
      <w:r>
        <w:rPr>
          <w:sz w:val="28"/>
          <w:szCs w:val="28"/>
          <w:lang w:val="uk-UA"/>
        </w:rPr>
        <w:t>,0 тис.грн.</w:t>
      </w:r>
    </w:p>
    <w:p w:rsidR="00514AE7" w:rsidRDefault="00514AE7" w:rsidP="00514AE7">
      <w:pPr>
        <w:jc w:val="both"/>
        <w:rPr>
          <w:sz w:val="28"/>
          <w:szCs w:val="28"/>
          <w:lang w:val="uk-UA"/>
        </w:rPr>
      </w:pPr>
    </w:p>
    <w:p w:rsidR="00514AE7" w:rsidRPr="006405B7" w:rsidRDefault="00514AE7" w:rsidP="00514AE7">
      <w:pPr>
        <w:pStyle w:val="20"/>
        <w:spacing w:line="240" w:lineRule="auto"/>
        <w:ind w:left="284"/>
        <w:jc w:val="center"/>
        <w:rPr>
          <w:b/>
          <w:sz w:val="28"/>
          <w:szCs w:val="28"/>
          <w:lang w:val="uk-UA"/>
        </w:rPr>
      </w:pPr>
      <w:r w:rsidRPr="006405B7">
        <w:rPr>
          <w:b/>
          <w:sz w:val="28"/>
          <w:szCs w:val="28"/>
          <w:lang w:val="uk-UA"/>
        </w:rPr>
        <w:t>Культура і мистецтво</w:t>
      </w:r>
    </w:p>
    <w:p w:rsidR="00514AE7" w:rsidRDefault="00514AE7" w:rsidP="00514AE7">
      <w:pPr>
        <w:pStyle w:val="Default"/>
        <w:jc w:val="both"/>
        <w:rPr>
          <w:sz w:val="28"/>
          <w:szCs w:val="28"/>
          <w:lang w:val="uk-UA"/>
        </w:rPr>
      </w:pPr>
    </w:p>
    <w:p w:rsidR="00514AE7" w:rsidRPr="00C54444" w:rsidRDefault="00514AE7" w:rsidP="00514AE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C54444">
        <w:rPr>
          <w:sz w:val="28"/>
          <w:szCs w:val="28"/>
          <w:lang w:val="uk-UA"/>
        </w:rPr>
        <w:t xml:space="preserve">Головними пріоритетами галузі залишаються: збереження відтворення та примноження духовних і культурних здобутків українського народу, розвиток культурно-мистецького потенціалу, збереження культурної спадщини України, здійснення комплексу заходів, спрямованих на розвиток культурних цінностей регіону, зміцнення національної єдності, утвердження патріотизму. </w:t>
      </w:r>
    </w:p>
    <w:p w:rsidR="00514AE7" w:rsidRPr="00C54444" w:rsidRDefault="00514AE7" w:rsidP="00514AE7">
      <w:pPr>
        <w:pStyle w:val="20"/>
        <w:spacing w:line="340" w:lineRule="exact"/>
        <w:ind w:left="0" w:firstLine="851"/>
        <w:jc w:val="both"/>
        <w:rPr>
          <w:sz w:val="28"/>
          <w:szCs w:val="28"/>
        </w:rPr>
      </w:pPr>
      <w:r w:rsidRPr="00C54444">
        <w:rPr>
          <w:sz w:val="28"/>
          <w:szCs w:val="28"/>
        </w:rPr>
        <w:t xml:space="preserve">На галузь із загального фонду бюджету передбачено спрямувати </w:t>
      </w:r>
      <w:r w:rsidR="001F6976">
        <w:rPr>
          <w:sz w:val="28"/>
          <w:szCs w:val="28"/>
          <w:lang w:val="uk-UA"/>
        </w:rPr>
        <w:t>7527,8</w:t>
      </w:r>
      <w:r w:rsidRPr="00C54444">
        <w:rPr>
          <w:sz w:val="28"/>
          <w:szCs w:val="28"/>
        </w:rPr>
        <w:t xml:space="preserve"> тис. грн, що на </w:t>
      </w:r>
      <w:r w:rsidR="002440FC">
        <w:rPr>
          <w:sz w:val="28"/>
          <w:szCs w:val="28"/>
          <w:lang w:val="uk-UA"/>
        </w:rPr>
        <w:t>274,3</w:t>
      </w:r>
      <w:r w:rsidRPr="00C54444">
        <w:rPr>
          <w:sz w:val="28"/>
          <w:szCs w:val="28"/>
        </w:rPr>
        <w:t xml:space="preserve"> тис. грн, більше уточнених призначень 20</w:t>
      </w:r>
      <w:r>
        <w:rPr>
          <w:sz w:val="28"/>
          <w:szCs w:val="28"/>
          <w:lang w:val="uk-UA"/>
        </w:rPr>
        <w:t>21</w:t>
      </w:r>
      <w:r w:rsidRPr="00C54444">
        <w:rPr>
          <w:sz w:val="28"/>
          <w:szCs w:val="28"/>
        </w:rPr>
        <w:t xml:space="preserve"> року.</w:t>
      </w:r>
    </w:p>
    <w:p w:rsidR="00514AE7" w:rsidRPr="00C54444" w:rsidRDefault="00514AE7" w:rsidP="00514AE7">
      <w:pPr>
        <w:pStyle w:val="20"/>
        <w:spacing w:line="340" w:lineRule="exact"/>
        <w:ind w:left="0" w:firstLine="851"/>
        <w:jc w:val="both"/>
        <w:rPr>
          <w:sz w:val="28"/>
          <w:szCs w:val="28"/>
        </w:rPr>
      </w:pPr>
      <w:r w:rsidRPr="00C54444">
        <w:rPr>
          <w:sz w:val="28"/>
          <w:szCs w:val="28"/>
        </w:rPr>
        <w:t xml:space="preserve">Витрати на оплату праці з нарахуваннями плануються в сумі </w:t>
      </w:r>
      <w:r w:rsidR="002440FC">
        <w:rPr>
          <w:sz w:val="28"/>
          <w:szCs w:val="28"/>
          <w:lang w:val="uk-UA"/>
        </w:rPr>
        <w:t>5897,7</w:t>
      </w:r>
      <w:r w:rsidRPr="00C54444">
        <w:rPr>
          <w:sz w:val="28"/>
          <w:szCs w:val="28"/>
          <w:lang w:val="uk-UA"/>
        </w:rPr>
        <w:t xml:space="preserve"> тис. грн</w:t>
      </w:r>
      <w:r w:rsidRPr="00C54444">
        <w:rPr>
          <w:sz w:val="28"/>
          <w:szCs w:val="28"/>
        </w:rPr>
        <w:t xml:space="preserve">. на оплату комунальних послуг та енергоносіїв спрямовано – </w:t>
      </w:r>
      <w:r w:rsidR="002440FC">
        <w:rPr>
          <w:sz w:val="28"/>
          <w:szCs w:val="28"/>
          <w:lang w:val="uk-UA"/>
        </w:rPr>
        <w:t>905,2</w:t>
      </w:r>
      <w:r w:rsidRPr="00C54444">
        <w:rPr>
          <w:sz w:val="28"/>
          <w:szCs w:val="28"/>
        </w:rPr>
        <w:t xml:space="preserve"> тис.грн.</w:t>
      </w:r>
    </w:p>
    <w:p w:rsidR="00514AE7" w:rsidRPr="00C54444" w:rsidRDefault="00514AE7" w:rsidP="00514AE7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uk-UA"/>
        </w:rPr>
      </w:pPr>
      <w:r w:rsidRPr="00C54444">
        <w:rPr>
          <w:sz w:val="28"/>
          <w:szCs w:val="28"/>
          <w:lang w:val="uk-UA"/>
        </w:rPr>
        <w:t xml:space="preserve">В бюджеті </w:t>
      </w:r>
      <w:r>
        <w:rPr>
          <w:sz w:val="28"/>
          <w:szCs w:val="28"/>
          <w:lang w:val="uk-UA"/>
        </w:rPr>
        <w:t>на 202</w:t>
      </w:r>
      <w:r w:rsidR="002440F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Pr="00C54444">
        <w:rPr>
          <w:sz w:val="28"/>
          <w:szCs w:val="28"/>
          <w:lang w:val="uk-UA"/>
        </w:rPr>
        <w:t xml:space="preserve"> передбачені кошти на проведення заходів в галузі культура в сумі</w:t>
      </w:r>
      <w:r>
        <w:rPr>
          <w:sz w:val="28"/>
          <w:szCs w:val="28"/>
          <w:lang w:val="uk-UA"/>
        </w:rPr>
        <w:t xml:space="preserve"> </w:t>
      </w:r>
      <w:r w:rsidR="002440F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00,0</w:t>
      </w:r>
      <w:r w:rsidRPr="00C54444">
        <w:rPr>
          <w:sz w:val="28"/>
          <w:szCs w:val="28"/>
          <w:lang w:val="uk-UA"/>
        </w:rPr>
        <w:t xml:space="preserve"> тис. грн.</w:t>
      </w:r>
    </w:p>
    <w:p w:rsidR="00514AE7" w:rsidRPr="00C54444" w:rsidRDefault="00514AE7" w:rsidP="00514AE7">
      <w:pPr>
        <w:shd w:val="clear" w:color="auto" w:fill="FFFFFF"/>
        <w:spacing w:line="340" w:lineRule="exact"/>
        <w:ind w:firstLine="851"/>
        <w:jc w:val="both"/>
        <w:rPr>
          <w:color w:val="000000"/>
          <w:sz w:val="28"/>
          <w:szCs w:val="28"/>
          <w:lang w:val="uk-UA"/>
        </w:rPr>
      </w:pPr>
      <w:r w:rsidRPr="00C54444">
        <w:rPr>
          <w:color w:val="000000"/>
          <w:sz w:val="28"/>
          <w:szCs w:val="28"/>
          <w:lang w:val="uk-UA"/>
        </w:rPr>
        <w:t xml:space="preserve">Спеціальний фонд бюджету галузі в сумі </w:t>
      </w:r>
      <w:r w:rsidR="002440FC">
        <w:rPr>
          <w:color w:val="000000"/>
          <w:sz w:val="28"/>
          <w:szCs w:val="28"/>
          <w:lang w:val="uk-UA"/>
        </w:rPr>
        <w:t>19</w:t>
      </w:r>
      <w:r>
        <w:rPr>
          <w:color w:val="000000"/>
          <w:sz w:val="28"/>
          <w:szCs w:val="28"/>
          <w:lang w:val="uk-UA"/>
        </w:rPr>
        <w:t>,0</w:t>
      </w:r>
      <w:r w:rsidRPr="00C54444">
        <w:rPr>
          <w:color w:val="000000"/>
          <w:sz w:val="28"/>
          <w:szCs w:val="28"/>
          <w:lang w:val="uk-UA"/>
        </w:rPr>
        <w:t xml:space="preserve"> тис.грн., сформований за рахунок власних надходжень бюджетних установ, згідно з функціональними обов’язками, кошти будуть використані на утримання установ.</w:t>
      </w:r>
    </w:p>
    <w:p w:rsidR="00514AE7" w:rsidRDefault="00514AE7" w:rsidP="00514AE7">
      <w:pPr>
        <w:jc w:val="both"/>
        <w:rPr>
          <w:sz w:val="28"/>
          <w:szCs w:val="28"/>
          <w:lang w:val="uk-UA"/>
        </w:rPr>
      </w:pPr>
    </w:p>
    <w:p w:rsidR="00514AE7" w:rsidRPr="006405B7" w:rsidRDefault="00514AE7" w:rsidP="00514AE7">
      <w:pPr>
        <w:tabs>
          <w:tab w:val="left" w:pos="851"/>
        </w:tabs>
        <w:spacing w:line="340" w:lineRule="exact"/>
        <w:ind w:firstLine="851"/>
        <w:jc w:val="both"/>
        <w:rPr>
          <w:b/>
          <w:sz w:val="28"/>
          <w:szCs w:val="28"/>
          <w:lang w:val="uk-UA"/>
        </w:rPr>
      </w:pPr>
      <w:r w:rsidRPr="006405B7">
        <w:rPr>
          <w:b/>
          <w:sz w:val="28"/>
          <w:szCs w:val="28"/>
          <w:lang w:val="uk-UA"/>
        </w:rPr>
        <w:t xml:space="preserve">                           Фізична культура і спорт</w:t>
      </w:r>
    </w:p>
    <w:p w:rsidR="00514AE7" w:rsidRDefault="00514AE7" w:rsidP="00514AE7">
      <w:pPr>
        <w:tabs>
          <w:tab w:val="left" w:pos="851"/>
        </w:tabs>
        <w:spacing w:line="340" w:lineRule="exact"/>
        <w:ind w:firstLine="851"/>
        <w:jc w:val="both"/>
        <w:rPr>
          <w:b/>
          <w:i/>
          <w:sz w:val="28"/>
          <w:szCs w:val="28"/>
          <w:lang w:val="uk-UA"/>
        </w:rPr>
      </w:pPr>
    </w:p>
    <w:p w:rsidR="00514AE7" w:rsidRPr="00601F11" w:rsidRDefault="00514AE7" w:rsidP="00514AE7">
      <w:pPr>
        <w:tabs>
          <w:tab w:val="left" w:pos="851"/>
        </w:tabs>
        <w:spacing w:line="340" w:lineRule="exact"/>
        <w:ind w:firstLine="851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 xml:space="preserve">Головними пріоритетами галузі є: всебічне фізичне виховання та становлення здорової нації, створення умов для залучення широких верств населення до масового спорту, сприяння розвитку олімпійського спорту. </w:t>
      </w:r>
    </w:p>
    <w:p w:rsidR="00514AE7" w:rsidRDefault="00514AE7" w:rsidP="00514AE7">
      <w:pPr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951B1">
        <w:rPr>
          <w:sz w:val="28"/>
          <w:szCs w:val="28"/>
          <w:lang w:val="uk-UA"/>
        </w:rPr>
        <w:t xml:space="preserve">На фізичну культуру і спорт </w:t>
      </w:r>
      <w:r>
        <w:rPr>
          <w:sz w:val="28"/>
          <w:szCs w:val="28"/>
          <w:lang w:val="uk-UA"/>
        </w:rPr>
        <w:t>планується</w:t>
      </w:r>
      <w:r w:rsidRPr="00C951B1">
        <w:rPr>
          <w:sz w:val="28"/>
          <w:szCs w:val="28"/>
          <w:lang w:val="uk-UA"/>
        </w:rPr>
        <w:t xml:space="preserve"> спрямувати </w:t>
      </w:r>
      <w:r w:rsidR="005B0950">
        <w:rPr>
          <w:sz w:val="28"/>
          <w:szCs w:val="28"/>
          <w:lang w:val="uk-UA"/>
        </w:rPr>
        <w:t>4401,7</w:t>
      </w:r>
      <w:r>
        <w:rPr>
          <w:sz w:val="28"/>
          <w:szCs w:val="28"/>
          <w:lang w:val="uk-UA"/>
        </w:rPr>
        <w:t xml:space="preserve"> тис. грн.</w:t>
      </w:r>
      <w:r w:rsidRPr="00C951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</w:t>
      </w:r>
      <w:r w:rsidRPr="00C951B1">
        <w:rPr>
          <w:sz w:val="28"/>
          <w:szCs w:val="28"/>
          <w:lang w:val="uk-UA"/>
        </w:rPr>
        <w:t>загального фонду бюджету</w:t>
      </w:r>
      <w:r w:rsidRPr="00E62A22">
        <w:rPr>
          <w:sz w:val="28"/>
          <w:szCs w:val="28"/>
        </w:rPr>
        <w:t xml:space="preserve"> </w:t>
      </w:r>
      <w:r>
        <w:rPr>
          <w:sz w:val="28"/>
          <w:szCs w:val="28"/>
        </w:rPr>
        <w:t>(більше уточнених призначень 20</w:t>
      </w:r>
      <w:r>
        <w:rPr>
          <w:sz w:val="28"/>
          <w:szCs w:val="28"/>
          <w:lang w:val="uk-UA"/>
        </w:rPr>
        <w:t>2</w:t>
      </w:r>
      <w:r w:rsidR="005B0950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на </w:t>
      </w:r>
      <w:r w:rsidR="005B0950">
        <w:rPr>
          <w:sz w:val="28"/>
          <w:szCs w:val="28"/>
          <w:lang w:val="uk-UA"/>
        </w:rPr>
        <w:t>170</w:t>
      </w:r>
      <w:r>
        <w:rPr>
          <w:sz w:val="28"/>
          <w:szCs w:val="28"/>
        </w:rPr>
        <w:t xml:space="preserve"> тис. 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рн</w:t>
      </w:r>
      <w:r>
        <w:rPr>
          <w:sz w:val="28"/>
          <w:szCs w:val="28"/>
          <w:lang w:val="uk-UA"/>
        </w:rPr>
        <w:t>)</w:t>
      </w:r>
      <w:r w:rsidRPr="00C951B1">
        <w:rPr>
          <w:sz w:val="28"/>
          <w:szCs w:val="28"/>
          <w:lang w:val="uk-UA"/>
        </w:rPr>
        <w:t xml:space="preserve">. </w:t>
      </w:r>
    </w:p>
    <w:p w:rsidR="00514AE7" w:rsidRPr="00C951B1" w:rsidRDefault="00514AE7" w:rsidP="00514AE7">
      <w:pPr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D715F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9D715F">
        <w:rPr>
          <w:sz w:val="28"/>
          <w:szCs w:val="28"/>
          <w:lang w:val="uk-UA"/>
        </w:rPr>
        <w:t>утримання дитячо-юнацьк</w:t>
      </w:r>
      <w:r>
        <w:rPr>
          <w:sz w:val="28"/>
          <w:szCs w:val="28"/>
          <w:lang w:val="uk-UA"/>
        </w:rPr>
        <w:t>ої</w:t>
      </w:r>
      <w:r w:rsidRPr="009D715F">
        <w:rPr>
          <w:sz w:val="28"/>
          <w:szCs w:val="28"/>
          <w:lang w:val="uk-UA"/>
        </w:rPr>
        <w:t xml:space="preserve"> спортивн</w:t>
      </w:r>
      <w:r>
        <w:rPr>
          <w:sz w:val="28"/>
          <w:szCs w:val="28"/>
          <w:lang w:val="uk-UA"/>
        </w:rPr>
        <w:t>ої</w:t>
      </w:r>
      <w:r w:rsidRPr="009D715F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оли</w:t>
      </w:r>
      <w:r w:rsidRPr="009D715F">
        <w:rPr>
          <w:sz w:val="28"/>
          <w:szCs w:val="28"/>
          <w:lang w:val="uk-UA"/>
        </w:rPr>
        <w:t>, що підпорядкову</w:t>
      </w:r>
      <w:r>
        <w:rPr>
          <w:sz w:val="28"/>
          <w:szCs w:val="28"/>
          <w:lang w:val="uk-UA"/>
        </w:rPr>
        <w:t>є</w:t>
      </w:r>
      <w:r w:rsidRPr="009D715F">
        <w:rPr>
          <w:sz w:val="28"/>
          <w:szCs w:val="28"/>
          <w:lang w:val="uk-UA"/>
        </w:rPr>
        <w:t xml:space="preserve">ться </w:t>
      </w:r>
      <w:r w:rsidRPr="00A01243">
        <w:rPr>
          <w:i/>
          <w:sz w:val="28"/>
          <w:szCs w:val="28"/>
          <w:lang w:val="uk-UA"/>
        </w:rPr>
        <w:t>відділ</w:t>
      </w:r>
      <w:r>
        <w:rPr>
          <w:i/>
          <w:sz w:val="28"/>
          <w:szCs w:val="28"/>
          <w:lang w:val="uk-UA"/>
        </w:rPr>
        <w:t>у</w:t>
      </w:r>
      <w:r w:rsidRPr="00A01243">
        <w:rPr>
          <w:i/>
          <w:sz w:val="28"/>
          <w:szCs w:val="28"/>
          <w:lang w:val="uk-UA"/>
        </w:rPr>
        <w:t xml:space="preserve"> освіти, сім’ї, молоді та спорту міської ради</w:t>
      </w:r>
      <w:r w:rsidRPr="009D715F">
        <w:rPr>
          <w:sz w:val="28"/>
          <w:szCs w:val="28"/>
          <w:lang w:val="uk-UA"/>
        </w:rPr>
        <w:t xml:space="preserve">, передбачено </w:t>
      </w:r>
      <w:r w:rsidR="005B0950">
        <w:rPr>
          <w:sz w:val="28"/>
          <w:szCs w:val="28"/>
          <w:lang w:val="uk-UA"/>
        </w:rPr>
        <w:t>3814</w:t>
      </w:r>
      <w:r>
        <w:rPr>
          <w:sz w:val="28"/>
          <w:szCs w:val="28"/>
          <w:lang w:val="uk-UA"/>
        </w:rPr>
        <w:t>,0</w:t>
      </w:r>
      <w:r w:rsidRPr="009D715F">
        <w:rPr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</w:t>
      </w:r>
      <w:r w:rsidRPr="009D715F">
        <w:rPr>
          <w:sz w:val="28"/>
          <w:szCs w:val="28"/>
          <w:lang w:val="uk-UA"/>
        </w:rPr>
        <w:t xml:space="preserve"> по загальному фонду бюджету, що на </w:t>
      </w:r>
      <w:r w:rsidR="005B0950">
        <w:rPr>
          <w:sz w:val="28"/>
          <w:szCs w:val="28"/>
          <w:lang w:val="uk-UA"/>
        </w:rPr>
        <w:t>111,6</w:t>
      </w:r>
      <w:r w:rsidRPr="009D715F">
        <w:rPr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</w:t>
      </w:r>
      <w:r w:rsidRPr="009D715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або на 3</w:t>
      </w:r>
      <w:r w:rsidRPr="009D715F">
        <w:rPr>
          <w:sz w:val="28"/>
          <w:szCs w:val="28"/>
          <w:lang w:val="uk-UA"/>
        </w:rPr>
        <w:t xml:space="preserve">%) більше </w:t>
      </w:r>
      <w:r>
        <w:rPr>
          <w:sz w:val="28"/>
          <w:szCs w:val="28"/>
          <w:lang w:val="uk-UA"/>
        </w:rPr>
        <w:t xml:space="preserve">призначень </w:t>
      </w:r>
      <w:r w:rsidRPr="009D715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5B0950">
        <w:rPr>
          <w:sz w:val="28"/>
          <w:szCs w:val="28"/>
          <w:lang w:val="uk-UA"/>
        </w:rPr>
        <w:t>2</w:t>
      </w:r>
      <w:r w:rsidRPr="009D715F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. </w:t>
      </w:r>
      <w:r w:rsidRPr="008A6D05">
        <w:rPr>
          <w:sz w:val="28"/>
          <w:szCs w:val="28"/>
          <w:lang w:val="uk-UA"/>
        </w:rPr>
        <w:t>Видатки на оплату праці</w:t>
      </w:r>
      <w:r>
        <w:rPr>
          <w:sz w:val="28"/>
          <w:szCs w:val="28"/>
          <w:lang w:val="uk-UA"/>
        </w:rPr>
        <w:t xml:space="preserve"> </w:t>
      </w:r>
      <w:r w:rsidRPr="008A6D05">
        <w:rPr>
          <w:sz w:val="28"/>
          <w:szCs w:val="28"/>
          <w:lang w:val="uk-UA"/>
        </w:rPr>
        <w:t xml:space="preserve">передбачені в сумі </w:t>
      </w:r>
      <w:r w:rsidR="005B0950">
        <w:rPr>
          <w:sz w:val="28"/>
          <w:szCs w:val="28"/>
          <w:lang w:val="uk-UA"/>
        </w:rPr>
        <w:t>2912,8</w:t>
      </w:r>
      <w:r>
        <w:rPr>
          <w:sz w:val="28"/>
          <w:szCs w:val="28"/>
          <w:lang w:val="uk-UA"/>
        </w:rPr>
        <w:t xml:space="preserve"> тис. грн.</w:t>
      </w:r>
      <w:r w:rsidRPr="008A6D05">
        <w:rPr>
          <w:sz w:val="28"/>
          <w:szCs w:val="28"/>
          <w:lang w:val="uk-UA"/>
        </w:rPr>
        <w:t xml:space="preserve">, на оплату комунальних послуг та енергоносіїв – </w:t>
      </w:r>
      <w:r w:rsidR="005B0950">
        <w:rPr>
          <w:sz w:val="28"/>
          <w:szCs w:val="28"/>
          <w:lang w:val="uk-UA"/>
        </w:rPr>
        <w:t>744,7</w:t>
      </w:r>
      <w:r>
        <w:rPr>
          <w:sz w:val="28"/>
          <w:szCs w:val="28"/>
          <w:lang w:val="uk-UA"/>
        </w:rPr>
        <w:t xml:space="preserve"> </w:t>
      </w:r>
      <w:r w:rsidRPr="008A6D05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8A6D05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иве</w:t>
      </w:r>
      <w:r w:rsidRPr="008A6D0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ь. На </w:t>
      </w:r>
      <w:r>
        <w:rPr>
          <w:sz w:val="28"/>
          <w:szCs w:val="28"/>
          <w:lang w:val="uk-UA"/>
        </w:rPr>
        <w:lastRenderedPageBreak/>
        <w:t>проведення навчально - тренувальних зборів і змагань спрямовано 162,0 тис.грн.</w:t>
      </w:r>
    </w:p>
    <w:p w:rsidR="00514AE7" w:rsidRDefault="00514AE7" w:rsidP="00930D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</w:t>
      </w:r>
      <w:r w:rsidRPr="001E0A55">
        <w:rPr>
          <w:sz w:val="28"/>
          <w:szCs w:val="28"/>
          <w:lang w:val="uk-UA"/>
        </w:rPr>
        <w:t xml:space="preserve">ередбачаються кошти для надання фінансової підтримки </w:t>
      </w:r>
      <w:r>
        <w:rPr>
          <w:sz w:val="28"/>
          <w:szCs w:val="28"/>
          <w:lang w:val="uk-UA"/>
        </w:rPr>
        <w:t xml:space="preserve">ГО «Федерація футболу Носівської громади» </w:t>
      </w:r>
      <w:r w:rsidRPr="001E0A55">
        <w:rPr>
          <w:sz w:val="28"/>
          <w:szCs w:val="28"/>
          <w:lang w:val="uk-UA"/>
        </w:rPr>
        <w:t xml:space="preserve">для проведення навчально-тренувальної та спортивної роботи – </w:t>
      </w:r>
      <w:r>
        <w:rPr>
          <w:sz w:val="28"/>
          <w:szCs w:val="28"/>
          <w:lang w:val="uk-UA"/>
        </w:rPr>
        <w:t>1</w:t>
      </w:r>
      <w:r w:rsidR="005B095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0,0 </w:t>
      </w:r>
      <w:r w:rsidRPr="001E0A55">
        <w:rPr>
          <w:sz w:val="28"/>
          <w:szCs w:val="28"/>
          <w:lang w:val="uk-UA"/>
        </w:rPr>
        <w:t>тис. грн, на утримання апарат</w:t>
      </w:r>
      <w:r>
        <w:rPr>
          <w:sz w:val="28"/>
          <w:szCs w:val="28"/>
          <w:lang w:val="uk-UA"/>
        </w:rPr>
        <w:t xml:space="preserve">у </w:t>
      </w:r>
      <w:r w:rsidRPr="001E0A55">
        <w:rPr>
          <w:sz w:val="28"/>
          <w:szCs w:val="28"/>
          <w:lang w:val="uk-UA"/>
        </w:rPr>
        <w:t>зазначен</w:t>
      </w:r>
      <w:r>
        <w:rPr>
          <w:sz w:val="28"/>
          <w:szCs w:val="28"/>
          <w:lang w:val="uk-UA"/>
        </w:rPr>
        <w:t>ої</w:t>
      </w:r>
      <w:r w:rsidRPr="001E0A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громадської організації </w:t>
      </w:r>
      <w:r w:rsidRPr="001E0A5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7</w:t>
      </w:r>
      <w:r w:rsidR="005B095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</w:t>
      </w:r>
      <w:r w:rsidR="005B0950">
        <w:rPr>
          <w:sz w:val="28"/>
          <w:szCs w:val="28"/>
          <w:lang w:val="uk-UA"/>
        </w:rPr>
        <w:t>7</w:t>
      </w:r>
      <w:r w:rsidRPr="001E0A55">
        <w:rPr>
          <w:sz w:val="28"/>
          <w:szCs w:val="28"/>
          <w:lang w:val="uk-UA"/>
        </w:rPr>
        <w:t xml:space="preserve"> тис. гривень.</w:t>
      </w:r>
      <w:r>
        <w:rPr>
          <w:sz w:val="28"/>
          <w:szCs w:val="28"/>
          <w:lang w:val="uk-UA"/>
        </w:rPr>
        <w:t xml:space="preserve">; на фінансову підтримку діяльності громадської організації «Носівська районна організація ФСТ «Колос» АПК України» спрямовується </w:t>
      </w:r>
      <w:r w:rsidR="005B0950">
        <w:rPr>
          <w:sz w:val="28"/>
          <w:szCs w:val="28"/>
          <w:lang w:val="uk-UA"/>
        </w:rPr>
        <w:t>207,0</w:t>
      </w:r>
      <w:r>
        <w:rPr>
          <w:sz w:val="28"/>
          <w:szCs w:val="28"/>
          <w:lang w:val="uk-UA"/>
        </w:rPr>
        <w:t xml:space="preserve"> тис.грн.</w:t>
      </w:r>
    </w:p>
    <w:p w:rsidR="00514AE7" w:rsidRDefault="00514AE7" w:rsidP="00930D1E">
      <w:pPr>
        <w:jc w:val="both"/>
        <w:rPr>
          <w:sz w:val="28"/>
          <w:szCs w:val="28"/>
          <w:lang w:val="uk-UA"/>
        </w:rPr>
      </w:pPr>
    </w:p>
    <w:p w:rsidR="00514AE7" w:rsidRDefault="00514AE7" w:rsidP="00930D1E">
      <w:pPr>
        <w:pStyle w:val="20"/>
        <w:spacing w:after="0" w:line="340" w:lineRule="exact"/>
        <w:jc w:val="center"/>
        <w:rPr>
          <w:b/>
          <w:sz w:val="28"/>
          <w:szCs w:val="28"/>
        </w:rPr>
      </w:pPr>
      <w:r w:rsidRPr="006405B7">
        <w:rPr>
          <w:b/>
          <w:sz w:val="28"/>
          <w:szCs w:val="28"/>
        </w:rPr>
        <w:t>Житлово</w:t>
      </w:r>
      <w:r>
        <w:rPr>
          <w:b/>
          <w:sz w:val="28"/>
          <w:szCs w:val="28"/>
          <w:lang w:val="uk-UA"/>
        </w:rPr>
        <w:t xml:space="preserve"> </w:t>
      </w:r>
      <w:r w:rsidRPr="006405B7"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6405B7">
        <w:rPr>
          <w:b/>
          <w:sz w:val="28"/>
          <w:szCs w:val="28"/>
        </w:rPr>
        <w:t>комунальне господарство</w:t>
      </w:r>
    </w:p>
    <w:p w:rsidR="00930D1E" w:rsidRDefault="00930D1E" w:rsidP="00930D1E">
      <w:pPr>
        <w:pStyle w:val="20"/>
        <w:spacing w:after="0" w:line="340" w:lineRule="exact"/>
        <w:jc w:val="center"/>
        <w:rPr>
          <w:b/>
          <w:sz w:val="28"/>
          <w:szCs w:val="28"/>
        </w:rPr>
      </w:pPr>
    </w:p>
    <w:p w:rsidR="00514AE7" w:rsidRDefault="00514AE7" w:rsidP="00930D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958EA">
        <w:rPr>
          <w:sz w:val="28"/>
          <w:szCs w:val="28"/>
        </w:rPr>
        <w:t xml:space="preserve">На </w:t>
      </w:r>
      <w:r w:rsidRPr="007958EA">
        <w:rPr>
          <w:sz w:val="28"/>
          <w:szCs w:val="28"/>
          <w:lang w:val="uk-UA"/>
        </w:rPr>
        <w:t>житлово-комунальне</w:t>
      </w:r>
      <w:r w:rsidRPr="007958EA">
        <w:rPr>
          <w:sz w:val="28"/>
          <w:szCs w:val="28"/>
        </w:rPr>
        <w:t xml:space="preserve"> </w:t>
      </w:r>
      <w:r w:rsidRPr="007958EA">
        <w:rPr>
          <w:sz w:val="28"/>
          <w:szCs w:val="28"/>
          <w:lang w:val="uk-UA"/>
        </w:rPr>
        <w:t>господарство</w:t>
      </w:r>
      <w:r w:rsidRPr="007958EA">
        <w:rPr>
          <w:sz w:val="28"/>
          <w:szCs w:val="28"/>
        </w:rPr>
        <w:t xml:space="preserve"> в </w:t>
      </w:r>
      <w:r w:rsidRPr="007958EA">
        <w:rPr>
          <w:sz w:val="28"/>
          <w:szCs w:val="28"/>
          <w:lang w:val="uk-UA"/>
        </w:rPr>
        <w:t>бюджеті</w:t>
      </w:r>
      <w:r>
        <w:rPr>
          <w:sz w:val="28"/>
          <w:szCs w:val="28"/>
          <w:lang w:val="uk-UA"/>
        </w:rPr>
        <w:t xml:space="preserve"> міської громади</w:t>
      </w:r>
      <w:r w:rsidRPr="007958EA">
        <w:rPr>
          <w:sz w:val="28"/>
          <w:szCs w:val="28"/>
        </w:rPr>
        <w:t xml:space="preserve"> по</w:t>
      </w:r>
      <w:r w:rsidRPr="007958EA">
        <w:rPr>
          <w:sz w:val="28"/>
          <w:szCs w:val="28"/>
          <w:lang w:val="uk-UA"/>
        </w:rPr>
        <w:t xml:space="preserve"> загальному</w:t>
      </w:r>
      <w:r w:rsidRPr="007958EA">
        <w:rPr>
          <w:sz w:val="28"/>
          <w:szCs w:val="28"/>
        </w:rPr>
        <w:t xml:space="preserve"> фонду </w:t>
      </w:r>
      <w:r w:rsidRPr="007958EA">
        <w:rPr>
          <w:sz w:val="28"/>
          <w:szCs w:val="28"/>
          <w:lang w:val="uk-UA"/>
        </w:rPr>
        <w:t>передбачаються</w:t>
      </w:r>
      <w:r w:rsidRPr="007958EA">
        <w:rPr>
          <w:sz w:val="28"/>
          <w:szCs w:val="28"/>
        </w:rPr>
        <w:t xml:space="preserve"> </w:t>
      </w:r>
      <w:r w:rsidRPr="007958EA">
        <w:rPr>
          <w:sz w:val="28"/>
          <w:szCs w:val="28"/>
          <w:lang w:val="uk-UA"/>
        </w:rPr>
        <w:t>асигнування</w:t>
      </w:r>
      <w:r w:rsidRPr="007958EA">
        <w:rPr>
          <w:sz w:val="28"/>
          <w:szCs w:val="28"/>
        </w:rPr>
        <w:t xml:space="preserve"> в </w:t>
      </w:r>
      <w:r w:rsidRPr="00804B83">
        <w:rPr>
          <w:sz w:val="28"/>
          <w:szCs w:val="28"/>
          <w:lang w:val="uk-UA"/>
        </w:rPr>
        <w:t>сумі</w:t>
      </w:r>
      <w:r w:rsidRPr="007958EA">
        <w:rPr>
          <w:sz w:val="28"/>
          <w:szCs w:val="28"/>
        </w:rPr>
        <w:t xml:space="preserve"> </w:t>
      </w:r>
      <w:r w:rsidR="00DA7538">
        <w:rPr>
          <w:sz w:val="28"/>
          <w:szCs w:val="28"/>
          <w:lang w:val="uk-UA"/>
        </w:rPr>
        <w:t>9010,0</w:t>
      </w:r>
      <w:r>
        <w:rPr>
          <w:sz w:val="28"/>
          <w:szCs w:val="28"/>
          <w:lang w:val="uk-UA"/>
        </w:rPr>
        <w:t xml:space="preserve"> </w:t>
      </w:r>
      <w:r w:rsidRPr="007958EA">
        <w:rPr>
          <w:sz w:val="28"/>
          <w:szCs w:val="28"/>
        </w:rPr>
        <w:t>тис.грн.,</w:t>
      </w:r>
      <w:r>
        <w:rPr>
          <w:sz w:val="28"/>
          <w:szCs w:val="28"/>
          <w:lang w:val="uk-UA"/>
        </w:rPr>
        <w:t xml:space="preserve"> з них:</w:t>
      </w:r>
    </w:p>
    <w:p w:rsidR="00514AE7" w:rsidRDefault="00514AE7" w:rsidP="00514AE7">
      <w:pPr>
        <w:ind w:firstLine="567"/>
        <w:jc w:val="both"/>
        <w:rPr>
          <w:sz w:val="28"/>
          <w:szCs w:val="28"/>
          <w:lang w:val="uk-UA"/>
        </w:rPr>
      </w:pPr>
      <w:r w:rsidRPr="007958EA">
        <w:rPr>
          <w:sz w:val="28"/>
          <w:szCs w:val="28"/>
        </w:rPr>
        <w:t xml:space="preserve"> </w:t>
      </w:r>
      <w:r w:rsidRPr="005A7CBF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надання поточних трансфертів комунальному підприємству „Носівка - Комунальник” відповідно до прийнятої програми  в сумі </w:t>
      </w:r>
      <w:r w:rsidR="00DA7538">
        <w:rPr>
          <w:sz w:val="28"/>
          <w:szCs w:val="28"/>
          <w:lang w:val="uk-UA"/>
        </w:rPr>
        <w:t>8410</w:t>
      </w:r>
      <w:r>
        <w:rPr>
          <w:sz w:val="28"/>
          <w:szCs w:val="28"/>
          <w:lang w:val="uk-UA"/>
        </w:rPr>
        <w:t>,0 тис.грн.;</w:t>
      </w:r>
    </w:p>
    <w:p w:rsidR="00514AE7" w:rsidRDefault="00514AE7" w:rsidP="00514AE7">
      <w:pPr>
        <w:ind w:firstLine="567"/>
        <w:jc w:val="both"/>
        <w:rPr>
          <w:sz w:val="28"/>
          <w:szCs w:val="28"/>
          <w:lang w:val="uk-UA"/>
        </w:rPr>
      </w:pPr>
      <w:r w:rsidRPr="005A7CBF">
        <w:rPr>
          <w:sz w:val="28"/>
          <w:szCs w:val="28"/>
          <w:lang w:val="uk-UA"/>
        </w:rPr>
        <w:t>утримання в</w:t>
      </w:r>
      <w:r>
        <w:rPr>
          <w:sz w:val="28"/>
          <w:szCs w:val="28"/>
          <w:lang w:val="uk-UA"/>
        </w:rPr>
        <w:t xml:space="preserve"> належному стані об’єктів благоустрою,</w:t>
      </w:r>
      <w:r w:rsidRPr="005A7CBF">
        <w:rPr>
          <w:sz w:val="28"/>
          <w:szCs w:val="28"/>
          <w:lang w:val="uk-UA"/>
        </w:rPr>
        <w:t xml:space="preserve"> доріг, вулиць</w:t>
      </w:r>
      <w:r>
        <w:rPr>
          <w:sz w:val="28"/>
          <w:szCs w:val="28"/>
          <w:lang w:val="uk-UA"/>
        </w:rPr>
        <w:t xml:space="preserve"> в зимовий період в сумі </w:t>
      </w:r>
      <w:r w:rsidR="0028404A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тис.грн</w:t>
      </w:r>
      <w:r w:rsidRPr="005A7CBF">
        <w:rPr>
          <w:sz w:val="28"/>
          <w:szCs w:val="28"/>
          <w:lang w:val="uk-UA"/>
        </w:rPr>
        <w:t>.</w:t>
      </w:r>
    </w:p>
    <w:p w:rsidR="00930D1E" w:rsidRDefault="00514AE7" w:rsidP="00514AE7">
      <w:pPr>
        <w:ind w:firstLine="567"/>
        <w:jc w:val="both"/>
        <w:rPr>
          <w:sz w:val="28"/>
          <w:szCs w:val="28"/>
        </w:rPr>
      </w:pPr>
      <w:r w:rsidRPr="0001229A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</w:t>
      </w:r>
      <w:r w:rsidRPr="0001229A">
        <w:rPr>
          <w:sz w:val="28"/>
          <w:szCs w:val="28"/>
        </w:rPr>
        <w:t xml:space="preserve">  </w:t>
      </w:r>
    </w:p>
    <w:p w:rsidR="00514AE7" w:rsidRPr="0070732C" w:rsidRDefault="00514AE7" w:rsidP="00930D1E">
      <w:pPr>
        <w:jc w:val="center"/>
        <w:rPr>
          <w:b/>
          <w:sz w:val="28"/>
          <w:szCs w:val="28"/>
          <w:lang w:val="uk-UA"/>
        </w:rPr>
      </w:pPr>
      <w:r w:rsidRPr="0070732C">
        <w:rPr>
          <w:b/>
          <w:sz w:val="28"/>
          <w:szCs w:val="28"/>
          <w:lang w:val="uk-UA"/>
        </w:rPr>
        <w:t>Економічна діяльність</w:t>
      </w:r>
    </w:p>
    <w:p w:rsidR="00514AE7" w:rsidRDefault="00514AE7" w:rsidP="00514AE7">
      <w:pPr>
        <w:ind w:firstLine="567"/>
        <w:jc w:val="both"/>
        <w:rPr>
          <w:sz w:val="28"/>
          <w:szCs w:val="28"/>
          <w:lang w:val="uk-UA"/>
        </w:rPr>
      </w:pPr>
    </w:p>
    <w:p w:rsidR="00514AE7" w:rsidRDefault="00514AE7" w:rsidP="00514AE7">
      <w:pPr>
        <w:spacing w:line="340" w:lineRule="exact"/>
        <w:ind w:firstLine="709"/>
        <w:jc w:val="both"/>
        <w:rPr>
          <w:sz w:val="28"/>
          <w:szCs w:val="28"/>
          <w:lang w:val="uk-UA"/>
        </w:rPr>
      </w:pPr>
      <w:r w:rsidRPr="0070732C">
        <w:rPr>
          <w:b/>
          <w:bCs/>
          <w:i/>
          <w:iCs/>
          <w:sz w:val="28"/>
          <w:szCs w:val="28"/>
        </w:rPr>
        <w:t xml:space="preserve">            </w:t>
      </w:r>
      <w:r>
        <w:rPr>
          <w:b/>
          <w:bCs/>
          <w:i/>
          <w:iCs/>
          <w:sz w:val="28"/>
          <w:szCs w:val="28"/>
        </w:rPr>
        <w:t>Сільське</w:t>
      </w:r>
      <w:r>
        <w:rPr>
          <w:b/>
          <w:bCs/>
          <w:i/>
          <w:iCs/>
          <w:sz w:val="28"/>
          <w:szCs w:val="28"/>
          <w:lang w:val="uk-UA"/>
        </w:rPr>
        <w:t>,</w:t>
      </w:r>
      <w:r>
        <w:rPr>
          <w:b/>
          <w:bCs/>
          <w:i/>
          <w:iCs/>
          <w:sz w:val="28"/>
          <w:szCs w:val="28"/>
        </w:rPr>
        <w:t xml:space="preserve"> лісове, рибне господарство та мисливство</w:t>
      </w:r>
    </w:p>
    <w:p w:rsidR="00514AE7" w:rsidRDefault="00514AE7" w:rsidP="00514AE7">
      <w:pPr>
        <w:spacing w:line="340" w:lineRule="exact"/>
        <w:ind w:firstLine="709"/>
        <w:jc w:val="both"/>
        <w:rPr>
          <w:color w:val="FF6600"/>
          <w:sz w:val="28"/>
          <w:szCs w:val="28"/>
          <w:lang w:val="uk-UA"/>
        </w:rPr>
      </w:pPr>
    </w:p>
    <w:p w:rsidR="00514AE7" w:rsidRDefault="00514AE7" w:rsidP="00514AE7">
      <w:pPr>
        <w:spacing w:line="34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</w:rPr>
        <w:t>заход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програми </w:t>
      </w:r>
      <w:r w:rsidRPr="00D16B9A">
        <w:rPr>
          <w:sz w:val="28"/>
          <w:szCs w:val="28"/>
        </w:rPr>
        <w:t>розвитку земельн</w:t>
      </w:r>
      <w:r>
        <w:rPr>
          <w:sz w:val="28"/>
          <w:szCs w:val="28"/>
          <w:lang w:val="uk-UA"/>
        </w:rPr>
        <w:t>и</w:t>
      </w:r>
      <w:r w:rsidRPr="00D16B9A">
        <w:rPr>
          <w:sz w:val="28"/>
          <w:szCs w:val="28"/>
        </w:rPr>
        <w:t>х відносин та охорони земель Носівської міської ради на 20</w:t>
      </w:r>
      <w:r>
        <w:rPr>
          <w:sz w:val="28"/>
          <w:szCs w:val="28"/>
          <w:lang w:val="uk-UA"/>
        </w:rPr>
        <w:t>21</w:t>
      </w:r>
      <w:r w:rsidRPr="00D16B9A">
        <w:rPr>
          <w:sz w:val="28"/>
          <w:szCs w:val="28"/>
        </w:rPr>
        <w:t xml:space="preserve"> - 202</w:t>
      </w:r>
      <w:r>
        <w:rPr>
          <w:sz w:val="28"/>
          <w:szCs w:val="28"/>
          <w:lang w:val="uk-UA"/>
        </w:rPr>
        <w:t>5</w:t>
      </w:r>
      <w:r w:rsidRPr="00D16B9A">
        <w:rPr>
          <w:sz w:val="28"/>
          <w:szCs w:val="28"/>
        </w:rPr>
        <w:t xml:space="preserve"> роки</w:t>
      </w:r>
      <w:r>
        <w:rPr>
          <w:sz w:val="28"/>
          <w:szCs w:val="28"/>
          <w:lang w:val="uk-UA"/>
        </w:rPr>
        <w:t xml:space="preserve"> в бюджеті 202</w:t>
      </w:r>
      <w:r w:rsidR="0028404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передбачено 3</w:t>
      </w:r>
      <w:r w:rsidR="0028404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0,0 тис. грн.</w:t>
      </w:r>
    </w:p>
    <w:p w:rsidR="00514AE7" w:rsidRPr="00B476AE" w:rsidRDefault="00514AE7" w:rsidP="00514AE7">
      <w:pPr>
        <w:spacing w:line="340" w:lineRule="exact"/>
        <w:ind w:firstLine="851"/>
        <w:jc w:val="both"/>
        <w:rPr>
          <w:bCs/>
          <w:iCs/>
          <w:sz w:val="28"/>
          <w:szCs w:val="28"/>
        </w:rPr>
      </w:pPr>
    </w:p>
    <w:p w:rsidR="00514AE7" w:rsidRDefault="00514AE7" w:rsidP="00514AE7">
      <w:pPr>
        <w:spacing w:line="340" w:lineRule="exact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Транспорт та транспортна інфраструктура, дорожнє господарство</w:t>
      </w:r>
    </w:p>
    <w:p w:rsidR="00514AE7" w:rsidRPr="00F351F5" w:rsidRDefault="00514AE7" w:rsidP="00514AE7">
      <w:pPr>
        <w:spacing w:line="340" w:lineRule="exact"/>
        <w:ind w:firstLine="851"/>
        <w:jc w:val="both"/>
        <w:rPr>
          <w:bCs/>
          <w:iCs/>
          <w:sz w:val="28"/>
          <w:szCs w:val="28"/>
          <w:lang w:val="uk-UA"/>
        </w:rPr>
      </w:pPr>
    </w:p>
    <w:p w:rsidR="00514AE7" w:rsidRDefault="00514AE7" w:rsidP="00514AE7">
      <w:pPr>
        <w:spacing w:line="34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 </w:t>
      </w:r>
      <w:r w:rsidR="00EA0F6D">
        <w:rPr>
          <w:sz w:val="28"/>
          <w:szCs w:val="28"/>
          <w:lang w:val="uk-UA"/>
        </w:rPr>
        <w:t xml:space="preserve">виконання заходів програми з будівництва, утримання та </w:t>
      </w:r>
      <w:r>
        <w:rPr>
          <w:sz w:val="28"/>
          <w:szCs w:val="28"/>
          <w:lang w:val="uk-UA"/>
        </w:rPr>
        <w:t xml:space="preserve"> </w:t>
      </w:r>
      <w:r w:rsidR="000E1438">
        <w:rPr>
          <w:sz w:val="28"/>
          <w:szCs w:val="28"/>
          <w:lang w:val="uk-UA"/>
        </w:rPr>
        <w:t xml:space="preserve">ремонту автомобільних доріг загального користування, у тому числі місцевого значення та вулиць і доріг комунальної власності Носівської територіальної громади </w:t>
      </w:r>
      <w:r>
        <w:rPr>
          <w:sz w:val="28"/>
          <w:szCs w:val="28"/>
          <w:lang w:val="uk-UA"/>
        </w:rPr>
        <w:t xml:space="preserve">передбачено коштів по загальному фонду бюджету в сумі </w:t>
      </w:r>
      <w:r w:rsidR="000E1438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00,0 тис. грн. </w:t>
      </w:r>
    </w:p>
    <w:p w:rsidR="00514AE7" w:rsidRDefault="00514AE7" w:rsidP="00514AE7">
      <w:pPr>
        <w:spacing w:line="340" w:lineRule="exact"/>
        <w:ind w:firstLine="709"/>
        <w:jc w:val="both"/>
        <w:rPr>
          <w:sz w:val="28"/>
          <w:szCs w:val="28"/>
          <w:lang w:val="uk-UA"/>
        </w:rPr>
      </w:pPr>
    </w:p>
    <w:p w:rsidR="00514AE7" w:rsidRDefault="00514AE7" w:rsidP="00514AE7">
      <w:pPr>
        <w:spacing w:line="340" w:lineRule="exac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Інші програми та заходи, пов’язані з економічною діяльністю</w:t>
      </w:r>
    </w:p>
    <w:p w:rsidR="00514AE7" w:rsidRDefault="00514AE7" w:rsidP="00514AE7">
      <w:pPr>
        <w:spacing w:line="340" w:lineRule="exact"/>
        <w:ind w:firstLine="709"/>
        <w:jc w:val="both"/>
        <w:rPr>
          <w:b/>
          <w:bCs/>
          <w:i/>
          <w:iCs/>
          <w:sz w:val="28"/>
          <w:szCs w:val="28"/>
        </w:rPr>
      </w:pPr>
    </w:p>
    <w:p w:rsidR="009D27F5" w:rsidRDefault="00AF46D5" w:rsidP="00514AE7">
      <w:pPr>
        <w:spacing w:line="340" w:lineRule="exact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 виконання заходів </w:t>
      </w:r>
      <w:r w:rsidR="009D27F5">
        <w:rPr>
          <w:bCs/>
          <w:iCs/>
          <w:sz w:val="28"/>
          <w:szCs w:val="28"/>
          <w:lang w:val="uk-UA"/>
        </w:rPr>
        <w:t>затверджених програм заплановано в</w:t>
      </w:r>
      <w:r w:rsidR="009D27F5" w:rsidRPr="009D27F5">
        <w:rPr>
          <w:bCs/>
          <w:iCs/>
          <w:sz w:val="28"/>
          <w:szCs w:val="28"/>
          <w:lang w:val="uk-UA"/>
        </w:rPr>
        <w:t>нески до статутного капіталу суб`єктів господарювання</w:t>
      </w:r>
      <w:r w:rsidR="009D27F5">
        <w:rPr>
          <w:bCs/>
          <w:iCs/>
          <w:sz w:val="28"/>
          <w:szCs w:val="28"/>
          <w:lang w:val="uk-UA"/>
        </w:rPr>
        <w:t xml:space="preserve"> на суму  840,0 тис.грн., кошти передані із загального фонду до бюджету розвитку спеціального фонду, а саме:</w:t>
      </w:r>
    </w:p>
    <w:p w:rsidR="009D27F5" w:rsidRDefault="009D27F5" w:rsidP="00514AE7">
      <w:pPr>
        <w:spacing w:line="340" w:lineRule="exact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</w:t>
      </w:r>
      <w:r w:rsidR="00AF46D5" w:rsidRPr="009D27F5">
        <w:rPr>
          <w:bCs/>
          <w:i/>
          <w:iCs/>
          <w:sz w:val="28"/>
          <w:szCs w:val="28"/>
          <w:lang w:val="uk-UA"/>
        </w:rPr>
        <w:t>«</w:t>
      </w:r>
      <w:r w:rsidR="00AF46D5" w:rsidRPr="009D27F5">
        <w:rPr>
          <w:bCs/>
          <w:i/>
          <w:iCs/>
          <w:sz w:val="28"/>
          <w:szCs w:val="28"/>
        </w:rPr>
        <w:t>Програм</w:t>
      </w:r>
      <w:r>
        <w:rPr>
          <w:bCs/>
          <w:i/>
          <w:iCs/>
          <w:sz w:val="28"/>
          <w:szCs w:val="28"/>
          <w:lang w:val="uk-UA"/>
        </w:rPr>
        <w:t>а</w:t>
      </w:r>
      <w:r w:rsidR="00AF46D5" w:rsidRPr="009D27F5">
        <w:rPr>
          <w:bCs/>
          <w:i/>
          <w:iCs/>
          <w:sz w:val="28"/>
          <w:szCs w:val="28"/>
        </w:rPr>
        <w:t xml:space="preserve"> підвищення ефективності роботи КП "Носівка-Комунальник" Носівської міської ради на 2023-2025 роки</w:t>
      </w:r>
      <w:r w:rsidRPr="009D27F5">
        <w:rPr>
          <w:bCs/>
          <w:i/>
          <w:iCs/>
          <w:sz w:val="28"/>
          <w:szCs w:val="28"/>
          <w:lang w:val="uk-UA"/>
        </w:rPr>
        <w:t>»</w:t>
      </w:r>
      <w:r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на суму 490,0 тис.грн.</w:t>
      </w:r>
    </w:p>
    <w:p w:rsidR="00AF46D5" w:rsidRPr="009D27F5" w:rsidRDefault="009D27F5" w:rsidP="00514AE7">
      <w:pPr>
        <w:spacing w:line="340" w:lineRule="exact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  <w:lang w:val="uk-UA"/>
        </w:rPr>
        <w:lastRenderedPageBreak/>
        <w:t xml:space="preserve"> «</w:t>
      </w:r>
      <w:r w:rsidRPr="009D27F5">
        <w:rPr>
          <w:bCs/>
          <w:i/>
          <w:iCs/>
          <w:sz w:val="28"/>
          <w:szCs w:val="28"/>
          <w:lang w:val="uk-UA"/>
        </w:rPr>
        <w:t>Програма розвитку та фінансової підтримки Комунального підприємства «Носівські теплові мережі» Носівської міської ради  на 2023 рік</w:t>
      </w:r>
      <w:r>
        <w:rPr>
          <w:bCs/>
          <w:i/>
          <w:iCs/>
          <w:sz w:val="28"/>
          <w:szCs w:val="28"/>
          <w:lang w:val="uk-UA"/>
        </w:rPr>
        <w:t xml:space="preserve">» </w:t>
      </w:r>
      <w:r>
        <w:rPr>
          <w:bCs/>
          <w:iCs/>
          <w:sz w:val="28"/>
          <w:szCs w:val="28"/>
          <w:lang w:val="uk-UA"/>
        </w:rPr>
        <w:t>на суму 350,0 тис.грн.</w:t>
      </w:r>
    </w:p>
    <w:p w:rsidR="00930D1E" w:rsidRDefault="00514AE7" w:rsidP="00514AE7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15DAB">
        <w:rPr>
          <w:sz w:val="28"/>
          <w:szCs w:val="28"/>
          <w:lang w:val="uk-UA"/>
        </w:rPr>
        <w:t xml:space="preserve">На виконання </w:t>
      </w:r>
      <w:r w:rsidR="00E014F9">
        <w:rPr>
          <w:sz w:val="28"/>
          <w:szCs w:val="28"/>
          <w:lang w:val="uk-UA"/>
        </w:rPr>
        <w:t>п</w:t>
      </w:r>
      <w:r w:rsidR="00E014F9" w:rsidRPr="00E014F9">
        <w:rPr>
          <w:sz w:val="28"/>
          <w:szCs w:val="28"/>
          <w:lang w:val="uk-UA"/>
        </w:rPr>
        <w:t>рограм</w:t>
      </w:r>
      <w:r w:rsidR="00E014F9">
        <w:rPr>
          <w:sz w:val="28"/>
          <w:szCs w:val="28"/>
          <w:lang w:val="uk-UA"/>
        </w:rPr>
        <w:t>и</w:t>
      </w:r>
      <w:r w:rsidR="00E014F9" w:rsidRPr="00E014F9">
        <w:rPr>
          <w:sz w:val="28"/>
          <w:szCs w:val="28"/>
          <w:lang w:val="uk-UA"/>
        </w:rPr>
        <w:t xml:space="preserve"> фінансового забезпечення представницьких витрат та інших видатків, пов`язаних з діяльністю Носівської міської ради</w:t>
      </w:r>
      <w:r w:rsidRPr="00A15DAB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</w:t>
      </w:r>
      <w:r w:rsidR="009D27F5">
        <w:rPr>
          <w:sz w:val="28"/>
          <w:szCs w:val="28"/>
          <w:lang w:val="uk-UA"/>
        </w:rPr>
        <w:t>3</w:t>
      </w:r>
      <w:r w:rsidRPr="00A15DA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</w:t>
      </w:r>
      <w:r w:rsidRPr="00A15DAB">
        <w:rPr>
          <w:sz w:val="28"/>
          <w:szCs w:val="28"/>
          <w:lang w:val="uk-UA"/>
        </w:rPr>
        <w:t xml:space="preserve">передбачені видатки в сумі </w:t>
      </w:r>
      <w:r w:rsidR="009D27F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A15DAB">
        <w:rPr>
          <w:sz w:val="28"/>
          <w:szCs w:val="28"/>
          <w:lang w:val="uk-UA"/>
        </w:rPr>
        <w:t>,0 тис. грн (членські внески до асоціацій органів місцевого самоврядування).</w:t>
      </w:r>
      <w:r w:rsidRPr="00531A21">
        <w:rPr>
          <w:b/>
          <w:i/>
          <w:sz w:val="28"/>
          <w:szCs w:val="28"/>
          <w:lang w:val="uk-UA"/>
        </w:rPr>
        <w:t xml:space="preserve">                                     </w:t>
      </w:r>
    </w:p>
    <w:p w:rsidR="00514AE7" w:rsidRPr="006405B7" w:rsidRDefault="00514AE7" w:rsidP="00930D1E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6405B7">
        <w:rPr>
          <w:b/>
          <w:sz w:val="28"/>
          <w:szCs w:val="28"/>
          <w:lang w:val="uk-UA"/>
        </w:rPr>
        <w:t>Інша діяльність</w:t>
      </w:r>
    </w:p>
    <w:p w:rsidR="00514AE7" w:rsidRDefault="00514AE7" w:rsidP="00514AE7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lang w:val="uk-UA"/>
        </w:rPr>
      </w:pPr>
    </w:p>
    <w:p w:rsidR="00514AE7" w:rsidRPr="0001310B" w:rsidRDefault="00514AE7" w:rsidP="00514AE7">
      <w:pPr>
        <w:autoSpaceDE w:val="0"/>
        <w:autoSpaceDN w:val="0"/>
        <w:adjustRightInd w:val="0"/>
        <w:ind w:firstLine="567"/>
        <w:jc w:val="center"/>
        <w:rPr>
          <w:b/>
          <w:i/>
          <w:sz w:val="28"/>
          <w:szCs w:val="28"/>
          <w:lang w:val="uk-UA"/>
        </w:rPr>
      </w:pPr>
      <w:r w:rsidRPr="0001310B">
        <w:rPr>
          <w:b/>
          <w:i/>
          <w:sz w:val="28"/>
          <w:szCs w:val="28"/>
          <w:lang w:val="uk-UA"/>
        </w:rPr>
        <w:t xml:space="preserve">Захист населення і територій від надзвичайних ситуацій техногенного  та природного характеру </w:t>
      </w:r>
    </w:p>
    <w:p w:rsidR="00514AE7" w:rsidRPr="00531A21" w:rsidRDefault="00514AE7" w:rsidP="00514AE7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514AE7" w:rsidRPr="00014BF0" w:rsidRDefault="00514AE7" w:rsidP="00514AE7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виконання «</w:t>
      </w:r>
      <w:r w:rsidR="003B096A">
        <w:rPr>
          <w:sz w:val="28"/>
          <w:szCs w:val="28"/>
          <w:lang w:val="uk-UA"/>
        </w:rPr>
        <w:t>П</w:t>
      </w:r>
      <w:r w:rsidRPr="00014BF0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>и</w:t>
      </w:r>
      <w:r w:rsidRPr="00014BF0">
        <w:rPr>
          <w:sz w:val="28"/>
          <w:szCs w:val="28"/>
          <w:lang w:val="uk-UA"/>
        </w:rPr>
        <w:t xml:space="preserve"> цивільного захисту</w:t>
      </w:r>
      <w:r w:rsidR="00C9234E">
        <w:rPr>
          <w:sz w:val="28"/>
          <w:szCs w:val="28"/>
          <w:lang w:val="uk-UA"/>
        </w:rPr>
        <w:t xml:space="preserve"> на</w:t>
      </w:r>
      <w:r w:rsidRPr="00014BF0">
        <w:rPr>
          <w:sz w:val="28"/>
          <w:szCs w:val="28"/>
          <w:lang w:val="uk-UA"/>
        </w:rPr>
        <w:t xml:space="preserve"> території Носівської міської ради на 20</w:t>
      </w:r>
      <w:r>
        <w:rPr>
          <w:sz w:val="28"/>
          <w:szCs w:val="28"/>
          <w:lang w:val="uk-UA"/>
        </w:rPr>
        <w:t>21</w:t>
      </w:r>
      <w:r w:rsidRPr="00014BF0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4</w:t>
      </w:r>
      <w:r w:rsidRPr="00014BF0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</w:t>
      </w:r>
      <w:r w:rsidRPr="00531A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передбачено спрямувати 2</w:t>
      </w:r>
      <w:r w:rsidR="00C9234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0,0 тис.грн.</w:t>
      </w:r>
    </w:p>
    <w:p w:rsidR="00514AE7" w:rsidRDefault="00421946" w:rsidP="00514A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14AE7">
        <w:rPr>
          <w:sz w:val="28"/>
          <w:szCs w:val="28"/>
          <w:lang w:val="uk-UA"/>
        </w:rPr>
        <w:t xml:space="preserve">На забезпечення діяльності місцевої пожежної охорони передбачено </w:t>
      </w:r>
      <w:r w:rsidR="00C9234E">
        <w:rPr>
          <w:sz w:val="28"/>
          <w:szCs w:val="28"/>
          <w:lang w:val="uk-UA"/>
        </w:rPr>
        <w:t>800</w:t>
      </w:r>
      <w:r w:rsidR="00514AE7">
        <w:rPr>
          <w:sz w:val="28"/>
          <w:szCs w:val="28"/>
          <w:lang w:val="uk-UA"/>
        </w:rPr>
        <w:t xml:space="preserve">,0 тис.грн. На заробітну плату з нарахуваннями спрямовано </w:t>
      </w:r>
      <w:r w:rsidR="00C9234E">
        <w:rPr>
          <w:sz w:val="28"/>
          <w:szCs w:val="28"/>
          <w:lang w:val="uk-UA"/>
        </w:rPr>
        <w:t>665,2</w:t>
      </w:r>
      <w:r w:rsidR="00514AE7">
        <w:rPr>
          <w:sz w:val="28"/>
          <w:szCs w:val="28"/>
          <w:lang w:val="uk-UA"/>
        </w:rPr>
        <w:t xml:space="preserve"> тис.грн. На інші видатки для забезпечення безперебійного функціонування команди заплановано </w:t>
      </w:r>
      <w:r w:rsidR="00C9234E">
        <w:rPr>
          <w:sz w:val="28"/>
          <w:szCs w:val="28"/>
          <w:lang w:val="uk-UA"/>
        </w:rPr>
        <w:t>134,8</w:t>
      </w:r>
      <w:r w:rsidR="00514AE7">
        <w:rPr>
          <w:sz w:val="28"/>
          <w:szCs w:val="28"/>
          <w:lang w:val="uk-UA"/>
        </w:rPr>
        <w:t xml:space="preserve"> тис.грн.</w:t>
      </w:r>
    </w:p>
    <w:p w:rsidR="00514AE7" w:rsidRDefault="00514AE7" w:rsidP="00514A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514AE7" w:rsidRDefault="00514AE7" w:rsidP="00514AE7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01310B">
        <w:rPr>
          <w:b/>
          <w:i/>
          <w:sz w:val="28"/>
          <w:szCs w:val="28"/>
          <w:lang w:val="uk-UA"/>
        </w:rPr>
        <w:t>Громадський порядок та безпека</w:t>
      </w:r>
    </w:p>
    <w:p w:rsidR="00514AE7" w:rsidRDefault="00514AE7" w:rsidP="00514AE7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lang w:val="uk-UA"/>
        </w:rPr>
      </w:pPr>
    </w:p>
    <w:p w:rsidR="00BB29ED" w:rsidRDefault="00514AE7" w:rsidP="00514A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1310B">
        <w:rPr>
          <w:sz w:val="28"/>
          <w:szCs w:val="28"/>
          <w:lang w:val="uk-UA"/>
        </w:rPr>
        <w:t>На</w:t>
      </w:r>
      <w:r>
        <w:rPr>
          <w:i/>
          <w:sz w:val="28"/>
          <w:szCs w:val="28"/>
          <w:lang w:val="uk-UA"/>
        </w:rPr>
        <w:t xml:space="preserve"> з</w:t>
      </w:r>
      <w:r w:rsidRPr="0001310B">
        <w:rPr>
          <w:i/>
          <w:sz w:val="28"/>
          <w:szCs w:val="28"/>
          <w:lang w:val="uk-UA"/>
        </w:rPr>
        <w:t>аходи та роботи з мобілізаційної підготовки місцевого з</w:t>
      </w:r>
      <w:r>
        <w:rPr>
          <w:i/>
          <w:sz w:val="28"/>
          <w:szCs w:val="28"/>
          <w:lang w:val="uk-UA"/>
        </w:rPr>
        <w:t>н</w:t>
      </w:r>
      <w:r w:rsidRPr="0001310B">
        <w:rPr>
          <w:i/>
          <w:sz w:val="28"/>
          <w:szCs w:val="28"/>
          <w:lang w:val="uk-UA"/>
        </w:rPr>
        <w:t>ачення</w:t>
      </w:r>
      <w:r>
        <w:rPr>
          <w:i/>
          <w:sz w:val="28"/>
          <w:szCs w:val="28"/>
          <w:lang w:val="uk-UA"/>
        </w:rPr>
        <w:t xml:space="preserve"> </w:t>
      </w:r>
      <w:r w:rsidRPr="0001310B">
        <w:rPr>
          <w:sz w:val="28"/>
          <w:szCs w:val="28"/>
          <w:lang w:val="uk-UA"/>
        </w:rPr>
        <w:t>в бюджеті</w:t>
      </w:r>
      <w:r>
        <w:rPr>
          <w:sz w:val="28"/>
          <w:szCs w:val="28"/>
          <w:lang w:val="uk-UA"/>
        </w:rPr>
        <w:t xml:space="preserve"> на 202</w:t>
      </w:r>
      <w:r w:rsidR="00C9234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передбачено 3</w:t>
      </w:r>
      <w:r w:rsidR="00C9234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0,0 тис.грн.,</w:t>
      </w:r>
      <w:r>
        <w:rPr>
          <w:i/>
          <w:sz w:val="28"/>
          <w:szCs w:val="28"/>
          <w:lang w:val="uk-UA"/>
        </w:rPr>
        <w:t xml:space="preserve"> </w:t>
      </w:r>
      <w:r w:rsidR="00BB29ED" w:rsidRPr="00BB29ED">
        <w:rPr>
          <w:sz w:val="28"/>
          <w:szCs w:val="28"/>
          <w:lang w:val="uk-UA"/>
        </w:rPr>
        <w:t>кошти будуть використовуватись</w:t>
      </w:r>
      <w:r w:rsidR="00BB29ED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плану заходів затвердженої програми</w:t>
      </w:r>
      <w:r w:rsidR="00BB29ED">
        <w:rPr>
          <w:sz w:val="28"/>
          <w:szCs w:val="28"/>
          <w:lang w:val="uk-UA"/>
        </w:rPr>
        <w:t>.</w:t>
      </w:r>
    </w:p>
    <w:p w:rsidR="00514AE7" w:rsidRPr="00E623ED" w:rsidRDefault="00514AE7" w:rsidP="00514AE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B29E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E623ED">
        <w:rPr>
          <w:i/>
          <w:sz w:val="28"/>
          <w:szCs w:val="28"/>
          <w:lang w:val="uk-UA"/>
        </w:rPr>
        <w:t>Інші заходи громадського порядку та безпеки</w:t>
      </w:r>
    </w:p>
    <w:p w:rsidR="00514AE7" w:rsidRDefault="00514AE7" w:rsidP="00514AE7">
      <w:pPr>
        <w:spacing w:line="34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реалізацію заходів п</w:t>
      </w:r>
      <w:r w:rsidRPr="00A92CF1">
        <w:rPr>
          <w:sz w:val="28"/>
          <w:szCs w:val="28"/>
          <w:lang w:val="uk-UA"/>
        </w:rPr>
        <w:t>рограм "Безпечна громада"</w:t>
      </w:r>
      <w:r>
        <w:rPr>
          <w:sz w:val="28"/>
          <w:szCs w:val="28"/>
          <w:lang w:val="uk-UA"/>
        </w:rPr>
        <w:t>,</w:t>
      </w:r>
      <w:r w:rsidR="009E3E8C">
        <w:rPr>
          <w:sz w:val="28"/>
          <w:szCs w:val="28"/>
          <w:lang w:val="uk-UA"/>
        </w:rPr>
        <w:t xml:space="preserve"> </w:t>
      </w:r>
      <w:r w:rsidR="009E3E8C" w:rsidRPr="00A92CF1">
        <w:rPr>
          <w:sz w:val="28"/>
          <w:szCs w:val="28"/>
          <w:lang w:val="uk-UA"/>
        </w:rPr>
        <w:t>"</w:t>
      </w:r>
      <w:r w:rsidR="009E3E8C">
        <w:rPr>
          <w:sz w:val="28"/>
          <w:szCs w:val="28"/>
          <w:lang w:val="uk-UA"/>
        </w:rPr>
        <w:t>Поліцейський офіцер</w:t>
      </w:r>
      <w:r w:rsidR="009E3E8C" w:rsidRPr="00A92CF1">
        <w:rPr>
          <w:sz w:val="28"/>
          <w:szCs w:val="28"/>
          <w:lang w:val="uk-UA"/>
        </w:rPr>
        <w:t xml:space="preserve"> громад</w:t>
      </w:r>
      <w:r w:rsidR="009E3E8C">
        <w:rPr>
          <w:sz w:val="28"/>
          <w:szCs w:val="28"/>
          <w:lang w:val="uk-UA"/>
        </w:rPr>
        <w:t>и</w:t>
      </w:r>
      <w:r w:rsidR="009E3E8C" w:rsidRPr="00A92CF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які включають впровадження інформаційно-телекомунікаційної, автоматизованої системи на території громади, в бюджеті 202</w:t>
      </w:r>
      <w:r w:rsidR="009E3E8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пропонується передбачити </w:t>
      </w:r>
      <w:r w:rsidR="009E3E8C">
        <w:rPr>
          <w:sz w:val="28"/>
          <w:szCs w:val="28"/>
          <w:lang w:val="uk-UA"/>
        </w:rPr>
        <w:t>660</w:t>
      </w:r>
      <w:r>
        <w:rPr>
          <w:sz w:val="28"/>
          <w:szCs w:val="28"/>
          <w:lang w:val="uk-UA"/>
        </w:rPr>
        <w:t>,0 тис. (встановлення камер відеоспостереження, створення мережі передавання даних, покращення охорони громадського порядку, здійснення профілактики правопорушень та попередження скоєння злочинів).</w:t>
      </w:r>
    </w:p>
    <w:p w:rsidR="00421946" w:rsidRDefault="00421946" w:rsidP="00514AE7">
      <w:pPr>
        <w:spacing w:line="34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421946">
        <w:rPr>
          <w:i/>
          <w:sz w:val="28"/>
          <w:szCs w:val="28"/>
          <w:lang w:val="uk-UA"/>
        </w:rPr>
        <w:t>заходи та роботи з територіальної оборони</w:t>
      </w:r>
      <w:r>
        <w:rPr>
          <w:sz w:val="28"/>
          <w:szCs w:val="28"/>
          <w:lang w:val="uk-UA"/>
        </w:rPr>
        <w:t xml:space="preserve"> спрямовано 200,0 тис.грн.</w:t>
      </w:r>
    </w:p>
    <w:p w:rsidR="00514AE7" w:rsidRPr="00886E9E" w:rsidRDefault="00514AE7" w:rsidP="00514AE7">
      <w:pPr>
        <w:spacing w:line="340" w:lineRule="exact"/>
        <w:jc w:val="center"/>
        <w:rPr>
          <w:sz w:val="28"/>
          <w:szCs w:val="28"/>
          <w:lang w:val="uk-UA"/>
        </w:rPr>
      </w:pPr>
    </w:p>
    <w:p w:rsidR="00514AE7" w:rsidRPr="00E623ED" w:rsidRDefault="00514AE7" w:rsidP="00514AE7">
      <w:pPr>
        <w:spacing w:line="340" w:lineRule="exact"/>
        <w:ind w:firstLine="85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</w:t>
      </w:r>
      <w:r w:rsidRPr="00E623ED">
        <w:rPr>
          <w:b/>
          <w:bCs/>
          <w:i/>
          <w:iCs/>
          <w:sz w:val="28"/>
          <w:szCs w:val="28"/>
        </w:rPr>
        <w:t>Охорона навколишнього природного середовища</w:t>
      </w:r>
    </w:p>
    <w:p w:rsidR="00514AE7" w:rsidRPr="00B5021F" w:rsidRDefault="00B5021F" w:rsidP="00B5021F">
      <w:pPr>
        <w:spacing w:line="340" w:lineRule="exact"/>
        <w:ind w:firstLine="851"/>
        <w:jc w:val="center"/>
        <w:rPr>
          <w:i/>
          <w:sz w:val="28"/>
          <w:szCs w:val="28"/>
          <w:lang w:val="uk-UA"/>
        </w:rPr>
      </w:pPr>
      <w:r w:rsidRPr="00B5021F">
        <w:rPr>
          <w:i/>
          <w:sz w:val="28"/>
          <w:szCs w:val="28"/>
          <w:lang w:val="uk-UA"/>
        </w:rPr>
        <w:t>Запобігання та ліквідація забруднення навколишнього природного середовища</w:t>
      </w:r>
    </w:p>
    <w:p w:rsidR="00514AE7" w:rsidRDefault="00514AE7" w:rsidP="00514AE7">
      <w:pPr>
        <w:spacing w:line="340" w:lineRule="exac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охорону навколишнього середовища по спеціальному фонду бюджету передбачено коштів в загальній сумі </w:t>
      </w:r>
      <w:r w:rsidR="00526689">
        <w:rPr>
          <w:sz w:val="28"/>
          <w:szCs w:val="28"/>
          <w:lang w:val="uk-UA"/>
        </w:rPr>
        <w:t>98,0</w:t>
      </w:r>
      <w:r>
        <w:rPr>
          <w:sz w:val="28"/>
          <w:szCs w:val="28"/>
          <w:lang w:val="uk-UA"/>
        </w:rPr>
        <w:t xml:space="preserve"> тис.грн.</w:t>
      </w:r>
      <w:r w:rsidR="008F44AE">
        <w:rPr>
          <w:sz w:val="28"/>
          <w:szCs w:val="28"/>
          <w:lang w:val="uk-UA"/>
        </w:rPr>
        <w:t xml:space="preserve">, </w:t>
      </w:r>
      <w:r w:rsidR="00526689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ліквідацію іншого забруднення навколишнього природного середовища, </w:t>
      </w:r>
      <w:r w:rsidRPr="00602D99">
        <w:rPr>
          <w:sz w:val="28"/>
          <w:szCs w:val="28"/>
          <w:lang w:val="uk-UA"/>
        </w:rPr>
        <w:t>що відповідає обсягу прогнозних надходжень екологічного податку</w:t>
      </w:r>
      <w:r>
        <w:rPr>
          <w:sz w:val="28"/>
          <w:szCs w:val="28"/>
          <w:lang w:val="uk-UA"/>
        </w:rPr>
        <w:t>.</w:t>
      </w:r>
      <w:r w:rsidRPr="00602D99">
        <w:rPr>
          <w:sz w:val="28"/>
          <w:szCs w:val="28"/>
          <w:lang w:val="uk-UA"/>
        </w:rPr>
        <w:t xml:space="preserve"> </w:t>
      </w:r>
    </w:p>
    <w:p w:rsidR="00514AE7" w:rsidRPr="00526D16" w:rsidRDefault="00514AE7" w:rsidP="00514AE7">
      <w:pPr>
        <w:spacing w:after="120"/>
        <w:ind w:firstLine="720"/>
        <w:jc w:val="both"/>
        <w:rPr>
          <w:b/>
          <w:sz w:val="20"/>
          <w:lang w:val="uk-UA"/>
        </w:rPr>
      </w:pPr>
    </w:p>
    <w:p w:rsidR="00514AE7" w:rsidRDefault="00514AE7" w:rsidP="00514AE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</w:t>
      </w:r>
      <w:r>
        <w:rPr>
          <w:b/>
          <w:bCs/>
          <w:i/>
          <w:iCs/>
          <w:sz w:val="28"/>
          <w:szCs w:val="28"/>
        </w:rPr>
        <w:t xml:space="preserve">Резервний фонд </w:t>
      </w:r>
    </w:p>
    <w:p w:rsidR="00514AE7" w:rsidRDefault="00514AE7" w:rsidP="00514AE7">
      <w:pPr>
        <w:pStyle w:val="Default"/>
        <w:rPr>
          <w:sz w:val="28"/>
          <w:szCs w:val="28"/>
        </w:rPr>
      </w:pPr>
    </w:p>
    <w:p w:rsidR="00514AE7" w:rsidRDefault="00514AE7" w:rsidP="00514AE7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Відповідно до статті 24 Бюджетного кодексу України для фінансування заходів з ліквідації наслідків надзвичайних ситуацій техногенного, природного, соціально-політичного характеру та заходів, пов’язаних із запобіганням виникненню надзвичайних ситуацій техногенного та природного характеру, а також інших заходів, що не мають постійного характеру і не можуть бути передбачені під час складання проекту бюджету</w:t>
      </w:r>
      <w:r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</w:rPr>
        <w:t xml:space="preserve">, заплановані кошти резервного фонду бюджету в сумі </w:t>
      </w:r>
      <w:r w:rsidR="00526689">
        <w:rPr>
          <w:sz w:val="28"/>
          <w:szCs w:val="28"/>
          <w:lang w:val="uk-UA"/>
        </w:rPr>
        <w:t>128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,0 тис. </w:t>
      </w:r>
      <w:r>
        <w:rPr>
          <w:sz w:val="28"/>
          <w:szCs w:val="28"/>
          <w:lang w:val="uk-UA"/>
        </w:rPr>
        <w:t>грн.</w:t>
      </w:r>
      <w:r>
        <w:rPr>
          <w:sz w:val="28"/>
          <w:szCs w:val="28"/>
        </w:rPr>
        <w:t xml:space="preserve"> </w:t>
      </w:r>
    </w:p>
    <w:p w:rsidR="00514AE7" w:rsidRDefault="00514AE7" w:rsidP="00514AE7">
      <w:pPr>
        <w:spacing w:line="340" w:lineRule="exact"/>
        <w:ind w:firstLine="851"/>
        <w:jc w:val="both"/>
        <w:rPr>
          <w:sz w:val="28"/>
          <w:szCs w:val="28"/>
          <w:lang w:val="uk-UA"/>
        </w:rPr>
      </w:pPr>
    </w:p>
    <w:p w:rsidR="00514AE7" w:rsidRPr="00452991" w:rsidRDefault="00514AE7" w:rsidP="00514AE7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</w:t>
      </w:r>
      <w:r w:rsidRPr="00452991">
        <w:rPr>
          <w:b/>
          <w:bCs/>
          <w:sz w:val="28"/>
          <w:szCs w:val="28"/>
          <w:lang w:val="uk-UA"/>
        </w:rPr>
        <w:t xml:space="preserve">Кредитування </w:t>
      </w:r>
    </w:p>
    <w:p w:rsidR="00514AE7" w:rsidRPr="00452991" w:rsidRDefault="00514AE7" w:rsidP="00514AE7">
      <w:pPr>
        <w:pStyle w:val="Default"/>
        <w:rPr>
          <w:b/>
          <w:bCs/>
          <w:sz w:val="28"/>
          <w:szCs w:val="28"/>
          <w:lang w:val="uk-UA"/>
        </w:rPr>
      </w:pPr>
    </w:p>
    <w:p w:rsidR="00514AE7" w:rsidRPr="00634CC6" w:rsidRDefault="00514AE7" w:rsidP="00514AE7">
      <w:pPr>
        <w:pStyle w:val="Default"/>
        <w:jc w:val="both"/>
        <w:rPr>
          <w:bCs/>
          <w:sz w:val="28"/>
          <w:szCs w:val="28"/>
          <w:lang w:val="uk-UA"/>
        </w:rPr>
      </w:pPr>
      <w:r w:rsidRPr="00634CC6">
        <w:rPr>
          <w:sz w:val="28"/>
          <w:szCs w:val="28"/>
          <w:lang w:val="uk-UA"/>
        </w:rPr>
        <w:t xml:space="preserve">           Для надання пільгового кредиту індивідуальним сільським забудовникам, відповідно до програми підтримки індивідуального житлового будівництва «Власний дім» на території Носівської </w:t>
      </w:r>
      <w:r>
        <w:rPr>
          <w:sz w:val="28"/>
          <w:szCs w:val="28"/>
          <w:lang w:val="uk-UA"/>
        </w:rPr>
        <w:t>територіальної</w:t>
      </w:r>
      <w:r w:rsidRPr="00634CC6">
        <w:rPr>
          <w:sz w:val="28"/>
          <w:szCs w:val="28"/>
          <w:lang w:val="uk-UA"/>
        </w:rPr>
        <w:t xml:space="preserve"> громади на 20</w:t>
      </w:r>
      <w:r>
        <w:rPr>
          <w:sz w:val="28"/>
          <w:szCs w:val="28"/>
          <w:lang w:val="uk-UA"/>
        </w:rPr>
        <w:t>2</w:t>
      </w:r>
      <w:r w:rsidR="00526689">
        <w:rPr>
          <w:sz w:val="28"/>
          <w:szCs w:val="28"/>
          <w:lang w:val="uk-UA"/>
        </w:rPr>
        <w:t>3</w:t>
      </w:r>
      <w:r w:rsidRPr="00634CC6">
        <w:rPr>
          <w:sz w:val="28"/>
          <w:szCs w:val="28"/>
          <w:lang w:val="uk-UA"/>
        </w:rPr>
        <w:t>-202</w:t>
      </w:r>
      <w:r w:rsidR="00526689">
        <w:rPr>
          <w:sz w:val="28"/>
          <w:szCs w:val="28"/>
          <w:lang w:val="uk-UA"/>
        </w:rPr>
        <w:t>4</w:t>
      </w:r>
      <w:r w:rsidRPr="00634CC6">
        <w:rPr>
          <w:sz w:val="28"/>
          <w:szCs w:val="28"/>
          <w:lang w:val="uk-UA"/>
        </w:rPr>
        <w:t xml:space="preserve"> роки передбачається спрямувати </w:t>
      </w:r>
      <w:r w:rsidR="00526689">
        <w:rPr>
          <w:sz w:val="28"/>
          <w:szCs w:val="28"/>
          <w:lang w:val="uk-UA"/>
        </w:rPr>
        <w:t>279,0</w:t>
      </w:r>
      <w:r w:rsidRPr="00634CC6">
        <w:rPr>
          <w:sz w:val="28"/>
          <w:szCs w:val="28"/>
          <w:lang w:val="uk-UA"/>
        </w:rPr>
        <w:t xml:space="preserve"> тис. грн, в тому числі </w:t>
      </w:r>
      <w:r w:rsidR="00526689">
        <w:rPr>
          <w:sz w:val="28"/>
          <w:szCs w:val="28"/>
          <w:lang w:val="uk-UA"/>
        </w:rPr>
        <w:t>187</w:t>
      </w:r>
      <w:r w:rsidRPr="00634CC6">
        <w:rPr>
          <w:sz w:val="28"/>
          <w:szCs w:val="28"/>
          <w:lang w:val="uk-UA"/>
        </w:rPr>
        <w:t xml:space="preserve">,0 тис.грн. за рахунок загального фонду та </w:t>
      </w:r>
      <w:r w:rsidR="0052668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2,0</w:t>
      </w:r>
      <w:r w:rsidRPr="00634CC6">
        <w:rPr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</w:t>
      </w:r>
      <w:r w:rsidRPr="00634CC6">
        <w:rPr>
          <w:sz w:val="28"/>
          <w:szCs w:val="28"/>
          <w:lang w:val="uk-UA"/>
        </w:rPr>
        <w:t xml:space="preserve"> за рахунок спеціального фонду бюджету</w:t>
      </w:r>
      <w:r w:rsidR="003E7E38">
        <w:rPr>
          <w:sz w:val="28"/>
          <w:szCs w:val="28"/>
          <w:lang w:val="uk-UA"/>
        </w:rPr>
        <w:t>.</w:t>
      </w:r>
      <w:r w:rsidRPr="00634CC6">
        <w:rPr>
          <w:sz w:val="28"/>
          <w:szCs w:val="28"/>
          <w:lang w:val="uk-UA"/>
        </w:rPr>
        <w:t xml:space="preserve"> </w:t>
      </w:r>
    </w:p>
    <w:p w:rsidR="00514AE7" w:rsidRDefault="00514AE7" w:rsidP="00514AE7">
      <w:pPr>
        <w:spacing w:before="120" w:after="120"/>
        <w:ind w:firstLine="720"/>
        <w:jc w:val="both"/>
        <w:rPr>
          <w:sz w:val="28"/>
          <w:szCs w:val="28"/>
          <w:lang w:val="uk-UA"/>
        </w:rPr>
      </w:pPr>
    </w:p>
    <w:p w:rsidR="00CD65BA" w:rsidRDefault="00CD65BA" w:rsidP="00514AE7">
      <w:pPr>
        <w:spacing w:before="120" w:after="120"/>
        <w:ind w:firstLine="720"/>
        <w:jc w:val="both"/>
        <w:rPr>
          <w:sz w:val="28"/>
          <w:szCs w:val="28"/>
          <w:lang w:val="uk-UA"/>
        </w:rPr>
      </w:pPr>
    </w:p>
    <w:p w:rsidR="00514AE7" w:rsidRPr="004B6CD5" w:rsidRDefault="00514AE7" w:rsidP="00514AE7">
      <w:pPr>
        <w:jc w:val="both"/>
        <w:rPr>
          <w:sz w:val="28"/>
          <w:szCs w:val="28"/>
          <w:lang w:val="uk-UA"/>
        </w:rPr>
      </w:pPr>
      <w:r w:rsidRPr="00351102">
        <w:rPr>
          <w:sz w:val="28"/>
          <w:szCs w:val="28"/>
        </w:rPr>
        <w:t xml:space="preserve">Начальник фінансового управління міської ради         </w:t>
      </w:r>
      <w:r>
        <w:rPr>
          <w:sz w:val="28"/>
          <w:szCs w:val="28"/>
        </w:rPr>
        <w:t xml:space="preserve">       </w:t>
      </w:r>
      <w:r w:rsidRPr="00351102">
        <w:rPr>
          <w:sz w:val="28"/>
          <w:szCs w:val="28"/>
        </w:rPr>
        <w:t xml:space="preserve">  Валентина </w:t>
      </w:r>
      <w:r w:rsidR="00EC54B1">
        <w:rPr>
          <w:sz w:val="28"/>
          <w:szCs w:val="28"/>
          <w:lang w:val="uk-UA"/>
        </w:rPr>
        <w:t>ПАЗУХА</w:t>
      </w:r>
      <w:r w:rsidRPr="004B6CD5">
        <w:rPr>
          <w:sz w:val="28"/>
          <w:szCs w:val="28"/>
        </w:rPr>
        <w:t xml:space="preserve"> </w:t>
      </w:r>
    </w:p>
    <w:sectPr w:rsidR="00514AE7" w:rsidRPr="004B6CD5" w:rsidSect="00207829">
      <w:headerReference w:type="even" r:id="rId11"/>
      <w:headerReference w:type="default" r:id="rId12"/>
      <w:pgSz w:w="11906" w:h="16838" w:code="9"/>
      <w:pgMar w:top="1134" w:right="567" w:bottom="1134" w:left="1701" w:header="35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C0C" w:rsidRDefault="00E77C0C">
      <w:r>
        <w:separator/>
      </w:r>
    </w:p>
  </w:endnote>
  <w:endnote w:type="continuationSeparator" w:id="0">
    <w:p w:rsidR="00E77C0C" w:rsidRDefault="00E7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C0C" w:rsidRDefault="00E77C0C">
      <w:r>
        <w:separator/>
      </w:r>
    </w:p>
  </w:footnote>
  <w:footnote w:type="continuationSeparator" w:id="0">
    <w:p w:rsidR="00E77C0C" w:rsidRDefault="00E7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D58" w:rsidRDefault="008D5D58" w:rsidP="00F731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77D9">
      <w:rPr>
        <w:rStyle w:val="a7"/>
        <w:noProof/>
      </w:rPr>
      <w:t>12</w:t>
    </w:r>
    <w:r>
      <w:rPr>
        <w:rStyle w:val="a7"/>
      </w:rPr>
      <w:fldChar w:fldCharType="end"/>
    </w:r>
  </w:p>
  <w:p w:rsidR="008D5D58" w:rsidRDefault="008D5D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D58" w:rsidRDefault="008D5D58" w:rsidP="00F731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77D9">
      <w:rPr>
        <w:rStyle w:val="a7"/>
        <w:noProof/>
      </w:rPr>
      <w:t>13</w:t>
    </w:r>
    <w:r>
      <w:rPr>
        <w:rStyle w:val="a7"/>
      </w:rPr>
      <w:fldChar w:fldCharType="end"/>
    </w:r>
  </w:p>
  <w:p w:rsidR="008D5D58" w:rsidRDefault="008D5D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0F5"/>
    <w:multiLevelType w:val="hybridMultilevel"/>
    <w:tmpl w:val="A1A6FF88"/>
    <w:lvl w:ilvl="0" w:tplc="86BEB3B4">
      <w:start w:val="2"/>
      <w:numFmt w:val="bullet"/>
      <w:lvlText w:val="-"/>
      <w:lvlJc w:val="left"/>
      <w:pPr>
        <w:tabs>
          <w:tab w:val="num" w:pos="1980"/>
        </w:tabs>
        <w:ind w:left="198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A163DB3"/>
    <w:multiLevelType w:val="hybridMultilevel"/>
    <w:tmpl w:val="23E8CDCA"/>
    <w:lvl w:ilvl="0" w:tplc="3420300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0BB"/>
    <w:multiLevelType w:val="hybridMultilevel"/>
    <w:tmpl w:val="74A2E45C"/>
    <w:lvl w:ilvl="0" w:tplc="EC041E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E557A92"/>
    <w:multiLevelType w:val="hybridMultilevel"/>
    <w:tmpl w:val="7102D744"/>
    <w:lvl w:ilvl="0" w:tplc="3F60CE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931B7D"/>
    <w:multiLevelType w:val="hybridMultilevel"/>
    <w:tmpl w:val="6180D284"/>
    <w:lvl w:ilvl="0" w:tplc="8F149D72">
      <w:start w:val="5"/>
      <w:numFmt w:val="bullet"/>
      <w:lvlText w:val="~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75150A2"/>
    <w:multiLevelType w:val="hybridMultilevel"/>
    <w:tmpl w:val="7B0290F8"/>
    <w:lvl w:ilvl="0" w:tplc="68CA9F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D0C2A6B"/>
    <w:multiLevelType w:val="hybridMultilevel"/>
    <w:tmpl w:val="D44CEAA8"/>
    <w:lvl w:ilvl="0" w:tplc="576C4DFA">
      <w:numFmt w:val="bullet"/>
      <w:lvlText w:val="-"/>
      <w:lvlJc w:val="left"/>
      <w:pPr>
        <w:tabs>
          <w:tab w:val="num" w:pos="1440"/>
        </w:tabs>
        <w:ind w:left="144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9440357"/>
    <w:multiLevelType w:val="hybridMultilevel"/>
    <w:tmpl w:val="B5B0B304"/>
    <w:lvl w:ilvl="0" w:tplc="4484D958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79B61E7C"/>
    <w:multiLevelType w:val="hybridMultilevel"/>
    <w:tmpl w:val="94AC3426"/>
    <w:lvl w:ilvl="0" w:tplc="F2E610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814857">
    <w:abstractNumId w:val="1"/>
  </w:num>
  <w:num w:numId="2" w16cid:durableId="1134635883">
    <w:abstractNumId w:val="0"/>
  </w:num>
  <w:num w:numId="3" w16cid:durableId="1554274220">
    <w:abstractNumId w:val="3"/>
  </w:num>
  <w:num w:numId="4" w16cid:durableId="931813992">
    <w:abstractNumId w:val="4"/>
  </w:num>
  <w:num w:numId="5" w16cid:durableId="43989967">
    <w:abstractNumId w:val="6"/>
  </w:num>
  <w:num w:numId="6" w16cid:durableId="727729775">
    <w:abstractNumId w:val="7"/>
  </w:num>
  <w:num w:numId="7" w16cid:durableId="1721244743">
    <w:abstractNumId w:val="2"/>
  </w:num>
  <w:num w:numId="8" w16cid:durableId="1981614070">
    <w:abstractNumId w:val="8"/>
  </w:num>
  <w:num w:numId="9" w16cid:durableId="166751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2D"/>
    <w:rsid w:val="00000176"/>
    <w:rsid w:val="00000D33"/>
    <w:rsid w:val="0000122F"/>
    <w:rsid w:val="00001908"/>
    <w:rsid w:val="00003CF6"/>
    <w:rsid w:val="0000659C"/>
    <w:rsid w:val="00007470"/>
    <w:rsid w:val="00013485"/>
    <w:rsid w:val="000141F3"/>
    <w:rsid w:val="000162A5"/>
    <w:rsid w:val="00016BB8"/>
    <w:rsid w:val="00020EC3"/>
    <w:rsid w:val="00021338"/>
    <w:rsid w:val="0002271B"/>
    <w:rsid w:val="000268F7"/>
    <w:rsid w:val="00027614"/>
    <w:rsid w:val="0003083B"/>
    <w:rsid w:val="000355A6"/>
    <w:rsid w:val="000404A9"/>
    <w:rsid w:val="000415AD"/>
    <w:rsid w:val="00043800"/>
    <w:rsid w:val="00043B81"/>
    <w:rsid w:val="00045C67"/>
    <w:rsid w:val="00045EE7"/>
    <w:rsid w:val="000460D6"/>
    <w:rsid w:val="00046D2B"/>
    <w:rsid w:val="0005036C"/>
    <w:rsid w:val="00050CCA"/>
    <w:rsid w:val="00053062"/>
    <w:rsid w:val="00053976"/>
    <w:rsid w:val="00060283"/>
    <w:rsid w:val="00061532"/>
    <w:rsid w:val="0006207B"/>
    <w:rsid w:val="00062226"/>
    <w:rsid w:val="000625A9"/>
    <w:rsid w:val="0006299D"/>
    <w:rsid w:val="0006679F"/>
    <w:rsid w:val="00067DE2"/>
    <w:rsid w:val="00070374"/>
    <w:rsid w:val="00071315"/>
    <w:rsid w:val="0007204B"/>
    <w:rsid w:val="0007288F"/>
    <w:rsid w:val="00073EA5"/>
    <w:rsid w:val="00076A1E"/>
    <w:rsid w:val="00077A79"/>
    <w:rsid w:val="00077AE4"/>
    <w:rsid w:val="00077E02"/>
    <w:rsid w:val="0008505B"/>
    <w:rsid w:val="0008508E"/>
    <w:rsid w:val="00085120"/>
    <w:rsid w:val="00090386"/>
    <w:rsid w:val="00090467"/>
    <w:rsid w:val="00090A6A"/>
    <w:rsid w:val="00093A5E"/>
    <w:rsid w:val="00093ED6"/>
    <w:rsid w:val="00093ED8"/>
    <w:rsid w:val="000A13BB"/>
    <w:rsid w:val="000A1C41"/>
    <w:rsid w:val="000A1D12"/>
    <w:rsid w:val="000A2C57"/>
    <w:rsid w:val="000A3A49"/>
    <w:rsid w:val="000A5D3D"/>
    <w:rsid w:val="000A69D6"/>
    <w:rsid w:val="000B032B"/>
    <w:rsid w:val="000B53A0"/>
    <w:rsid w:val="000B6783"/>
    <w:rsid w:val="000C4F9C"/>
    <w:rsid w:val="000C5BF3"/>
    <w:rsid w:val="000C7654"/>
    <w:rsid w:val="000D0741"/>
    <w:rsid w:val="000D0983"/>
    <w:rsid w:val="000D1FC5"/>
    <w:rsid w:val="000D43B0"/>
    <w:rsid w:val="000D539B"/>
    <w:rsid w:val="000E0FBD"/>
    <w:rsid w:val="000E1388"/>
    <w:rsid w:val="000E1438"/>
    <w:rsid w:val="000E23CE"/>
    <w:rsid w:val="000E2F94"/>
    <w:rsid w:val="000E4923"/>
    <w:rsid w:val="000E57DC"/>
    <w:rsid w:val="000E7454"/>
    <w:rsid w:val="000F0D1D"/>
    <w:rsid w:val="000F17D5"/>
    <w:rsid w:val="000F1ED6"/>
    <w:rsid w:val="000F2C9C"/>
    <w:rsid w:val="000F2F41"/>
    <w:rsid w:val="000F319F"/>
    <w:rsid w:val="000F7020"/>
    <w:rsid w:val="000F7929"/>
    <w:rsid w:val="000F7C9F"/>
    <w:rsid w:val="00100672"/>
    <w:rsid w:val="0010263E"/>
    <w:rsid w:val="00106C81"/>
    <w:rsid w:val="00107F43"/>
    <w:rsid w:val="00111237"/>
    <w:rsid w:val="001117BE"/>
    <w:rsid w:val="00113480"/>
    <w:rsid w:val="00114E2D"/>
    <w:rsid w:val="00120BD7"/>
    <w:rsid w:val="00121D39"/>
    <w:rsid w:val="00122246"/>
    <w:rsid w:val="001229EC"/>
    <w:rsid w:val="001235E8"/>
    <w:rsid w:val="001238BC"/>
    <w:rsid w:val="0012629C"/>
    <w:rsid w:val="001267F5"/>
    <w:rsid w:val="00126FF5"/>
    <w:rsid w:val="00127A01"/>
    <w:rsid w:val="001345E2"/>
    <w:rsid w:val="00137D48"/>
    <w:rsid w:val="00140F37"/>
    <w:rsid w:val="001438F7"/>
    <w:rsid w:val="0014468F"/>
    <w:rsid w:val="00145CF9"/>
    <w:rsid w:val="00146941"/>
    <w:rsid w:val="00146966"/>
    <w:rsid w:val="00150045"/>
    <w:rsid w:val="00150E6F"/>
    <w:rsid w:val="00151D49"/>
    <w:rsid w:val="00152ED4"/>
    <w:rsid w:val="00154301"/>
    <w:rsid w:val="0015477D"/>
    <w:rsid w:val="00161029"/>
    <w:rsid w:val="001612BD"/>
    <w:rsid w:val="001629CE"/>
    <w:rsid w:val="00166422"/>
    <w:rsid w:val="0016658F"/>
    <w:rsid w:val="001669D6"/>
    <w:rsid w:val="00166D17"/>
    <w:rsid w:val="0016740A"/>
    <w:rsid w:val="00167BE6"/>
    <w:rsid w:val="001707C0"/>
    <w:rsid w:val="00170ECD"/>
    <w:rsid w:val="00173337"/>
    <w:rsid w:val="0017348E"/>
    <w:rsid w:val="0017409B"/>
    <w:rsid w:val="0018051A"/>
    <w:rsid w:val="00181743"/>
    <w:rsid w:val="00181AFA"/>
    <w:rsid w:val="00185A86"/>
    <w:rsid w:val="00186104"/>
    <w:rsid w:val="00187145"/>
    <w:rsid w:val="0018771E"/>
    <w:rsid w:val="001901CA"/>
    <w:rsid w:val="001979B4"/>
    <w:rsid w:val="00197BEA"/>
    <w:rsid w:val="001A20D1"/>
    <w:rsid w:val="001A3465"/>
    <w:rsid w:val="001A6B38"/>
    <w:rsid w:val="001A7316"/>
    <w:rsid w:val="001B27EE"/>
    <w:rsid w:val="001B4133"/>
    <w:rsid w:val="001B7409"/>
    <w:rsid w:val="001B7956"/>
    <w:rsid w:val="001C0556"/>
    <w:rsid w:val="001C192E"/>
    <w:rsid w:val="001C2B3F"/>
    <w:rsid w:val="001C2ED3"/>
    <w:rsid w:val="001C3757"/>
    <w:rsid w:val="001C6820"/>
    <w:rsid w:val="001D10AB"/>
    <w:rsid w:val="001D10C4"/>
    <w:rsid w:val="001D2CD9"/>
    <w:rsid w:val="001D4488"/>
    <w:rsid w:val="001D5EDB"/>
    <w:rsid w:val="001D692E"/>
    <w:rsid w:val="001D7A7C"/>
    <w:rsid w:val="001E00F5"/>
    <w:rsid w:val="001E048C"/>
    <w:rsid w:val="001E0A55"/>
    <w:rsid w:val="001E1A35"/>
    <w:rsid w:val="001E1FFF"/>
    <w:rsid w:val="001E2217"/>
    <w:rsid w:val="001E45A1"/>
    <w:rsid w:val="001E4C28"/>
    <w:rsid w:val="001E5F1B"/>
    <w:rsid w:val="001E76C7"/>
    <w:rsid w:val="001E7B94"/>
    <w:rsid w:val="001E7CD4"/>
    <w:rsid w:val="001E7D3E"/>
    <w:rsid w:val="001F370B"/>
    <w:rsid w:val="001F68F8"/>
    <w:rsid w:val="001F6976"/>
    <w:rsid w:val="001F6AF0"/>
    <w:rsid w:val="002016F1"/>
    <w:rsid w:val="00207182"/>
    <w:rsid w:val="00207829"/>
    <w:rsid w:val="002104A3"/>
    <w:rsid w:val="00211A1B"/>
    <w:rsid w:val="00216C56"/>
    <w:rsid w:val="00221931"/>
    <w:rsid w:val="00222279"/>
    <w:rsid w:val="002232B6"/>
    <w:rsid w:val="00225B8C"/>
    <w:rsid w:val="0022661C"/>
    <w:rsid w:val="0022712E"/>
    <w:rsid w:val="00227304"/>
    <w:rsid w:val="002319AF"/>
    <w:rsid w:val="00232778"/>
    <w:rsid w:val="002344AA"/>
    <w:rsid w:val="00237A11"/>
    <w:rsid w:val="00237F49"/>
    <w:rsid w:val="00240128"/>
    <w:rsid w:val="00241B10"/>
    <w:rsid w:val="00242AAC"/>
    <w:rsid w:val="0024312D"/>
    <w:rsid w:val="00243FAB"/>
    <w:rsid w:val="002440FC"/>
    <w:rsid w:val="00245757"/>
    <w:rsid w:val="0024575C"/>
    <w:rsid w:val="0024740B"/>
    <w:rsid w:val="0024791B"/>
    <w:rsid w:val="00247A19"/>
    <w:rsid w:val="002510AF"/>
    <w:rsid w:val="002511FE"/>
    <w:rsid w:val="00253240"/>
    <w:rsid w:val="0025340B"/>
    <w:rsid w:val="00253950"/>
    <w:rsid w:val="0025633D"/>
    <w:rsid w:val="0025665F"/>
    <w:rsid w:val="00256D4A"/>
    <w:rsid w:val="00257215"/>
    <w:rsid w:val="002572B7"/>
    <w:rsid w:val="0025798E"/>
    <w:rsid w:val="002609DD"/>
    <w:rsid w:val="002619D3"/>
    <w:rsid w:val="00261ACB"/>
    <w:rsid w:val="00261BC2"/>
    <w:rsid w:val="00262888"/>
    <w:rsid w:val="0026502E"/>
    <w:rsid w:val="00266C8F"/>
    <w:rsid w:val="00270455"/>
    <w:rsid w:val="00270AA2"/>
    <w:rsid w:val="00271DAE"/>
    <w:rsid w:val="00271E4E"/>
    <w:rsid w:val="00271F39"/>
    <w:rsid w:val="00273D1A"/>
    <w:rsid w:val="00274CA6"/>
    <w:rsid w:val="00275DE1"/>
    <w:rsid w:val="00276B46"/>
    <w:rsid w:val="00276DD6"/>
    <w:rsid w:val="00277ACE"/>
    <w:rsid w:val="0028235B"/>
    <w:rsid w:val="002827BB"/>
    <w:rsid w:val="00282C8B"/>
    <w:rsid w:val="002831F0"/>
    <w:rsid w:val="0028404A"/>
    <w:rsid w:val="00284986"/>
    <w:rsid w:val="00284F0B"/>
    <w:rsid w:val="00287B26"/>
    <w:rsid w:val="002903C5"/>
    <w:rsid w:val="002935FB"/>
    <w:rsid w:val="002939E3"/>
    <w:rsid w:val="002948E7"/>
    <w:rsid w:val="00297171"/>
    <w:rsid w:val="002A3277"/>
    <w:rsid w:val="002A39AA"/>
    <w:rsid w:val="002A46A3"/>
    <w:rsid w:val="002A4808"/>
    <w:rsid w:val="002B42A5"/>
    <w:rsid w:val="002B5019"/>
    <w:rsid w:val="002B64AE"/>
    <w:rsid w:val="002B787E"/>
    <w:rsid w:val="002C008D"/>
    <w:rsid w:val="002C0B6D"/>
    <w:rsid w:val="002C1818"/>
    <w:rsid w:val="002C1D2F"/>
    <w:rsid w:val="002C25E8"/>
    <w:rsid w:val="002C4478"/>
    <w:rsid w:val="002C46D0"/>
    <w:rsid w:val="002C46F5"/>
    <w:rsid w:val="002C50CD"/>
    <w:rsid w:val="002C5B31"/>
    <w:rsid w:val="002C6AF6"/>
    <w:rsid w:val="002C7F82"/>
    <w:rsid w:val="002D177B"/>
    <w:rsid w:val="002D17D4"/>
    <w:rsid w:val="002D1C5B"/>
    <w:rsid w:val="002D2F80"/>
    <w:rsid w:val="002D3C90"/>
    <w:rsid w:val="002D421C"/>
    <w:rsid w:val="002D4FC0"/>
    <w:rsid w:val="002D5B17"/>
    <w:rsid w:val="002D66C3"/>
    <w:rsid w:val="002D685D"/>
    <w:rsid w:val="002D69A0"/>
    <w:rsid w:val="002D6E0F"/>
    <w:rsid w:val="002D75F4"/>
    <w:rsid w:val="002E0BD9"/>
    <w:rsid w:val="002E3A10"/>
    <w:rsid w:val="002E5F70"/>
    <w:rsid w:val="002E6775"/>
    <w:rsid w:val="002E79BC"/>
    <w:rsid w:val="002F039B"/>
    <w:rsid w:val="002F06D1"/>
    <w:rsid w:val="002F2346"/>
    <w:rsid w:val="002F292D"/>
    <w:rsid w:val="002F5C2F"/>
    <w:rsid w:val="002F6063"/>
    <w:rsid w:val="002F78D1"/>
    <w:rsid w:val="002F7D81"/>
    <w:rsid w:val="002F7EBF"/>
    <w:rsid w:val="003028C1"/>
    <w:rsid w:val="0030428B"/>
    <w:rsid w:val="0030773C"/>
    <w:rsid w:val="00310CFC"/>
    <w:rsid w:val="003115FA"/>
    <w:rsid w:val="00312F00"/>
    <w:rsid w:val="00314274"/>
    <w:rsid w:val="00314972"/>
    <w:rsid w:val="00315000"/>
    <w:rsid w:val="003155D7"/>
    <w:rsid w:val="00320961"/>
    <w:rsid w:val="0032097E"/>
    <w:rsid w:val="00320987"/>
    <w:rsid w:val="003214A9"/>
    <w:rsid w:val="0032167C"/>
    <w:rsid w:val="00323709"/>
    <w:rsid w:val="003237BE"/>
    <w:rsid w:val="0032649A"/>
    <w:rsid w:val="00326C2B"/>
    <w:rsid w:val="003302B1"/>
    <w:rsid w:val="00330461"/>
    <w:rsid w:val="003307F1"/>
    <w:rsid w:val="00334A5E"/>
    <w:rsid w:val="00335F95"/>
    <w:rsid w:val="0033620D"/>
    <w:rsid w:val="003402B0"/>
    <w:rsid w:val="0034087F"/>
    <w:rsid w:val="003419DC"/>
    <w:rsid w:val="00341E1E"/>
    <w:rsid w:val="00342047"/>
    <w:rsid w:val="00344208"/>
    <w:rsid w:val="00351102"/>
    <w:rsid w:val="00353B2A"/>
    <w:rsid w:val="00354356"/>
    <w:rsid w:val="00355801"/>
    <w:rsid w:val="00356DB7"/>
    <w:rsid w:val="003576CD"/>
    <w:rsid w:val="0036190E"/>
    <w:rsid w:val="0036299F"/>
    <w:rsid w:val="003637F0"/>
    <w:rsid w:val="0036660C"/>
    <w:rsid w:val="00367D7C"/>
    <w:rsid w:val="00370247"/>
    <w:rsid w:val="0037149A"/>
    <w:rsid w:val="003727FA"/>
    <w:rsid w:val="0037421F"/>
    <w:rsid w:val="00374EC1"/>
    <w:rsid w:val="0037530C"/>
    <w:rsid w:val="0037598F"/>
    <w:rsid w:val="00375A73"/>
    <w:rsid w:val="00376727"/>
    <w:rsid w:val="00377AA8"/>
    <w:rsid w:val="00384B68"/>
    <w:rsid w:val="00386265"/>
    <w:rsid w:val="0038783E"/>
    <w:rsid w:val="0039013F"/>
    <w:rsid w:val="003909EA"/>
    <w:rsid w:val="00393DEB"/>
    <w:rsid w:val="00396CA4"/>
    <w:rsid w:val="003973AB"/>
    <w:rsid w:val="0039762D"/>
    <w:rsid w:val="003A065B"/>
    <w:rsid w:val="003A0909"/>
    <w:rsid w:val="003A0F5C"/>
    <w:rsid w:val="003A39EF"/>
    <w:rsid w:val="003A3EE6"/>
    <w:rsid w:val="003A413F"/>
    <w:rsid w:val="003A4464"/>
    <w:rsid w:val="003A488B"/>
    <w:rsid w:val="003A6A7D"/>
    <w:rsid w:val="003A73E1"/>
    <w:rsid w:val="003A7403"/>
    <w:rsid w:val="003B065C"/>
    <w:rsid w:val="003B096A"/>
    <w:rsid w:val="003B5205"/>
    <w:rsid w:val="003B5D86"/>
    <w:rsid w:val="003B64F1"/>
    <w:rsid w:val="003B657D"/>
    <w:rsid w:val="003B69EC"/>
    <w:rsid w:val="003B7606"/>
    <w:rsid w:val="003C181C"/>
    <w:rsid w:val="003C1EBF"/>
    <w:rsid w:val="003C3BD3"/>
    <w:rsid w:val="003C6C96"/>
    <w:rsid w:val="003C76DF"/>
    <w:rsid w:val="003D2B14"/>
    <w:rsid w:val="003D3A40"/>
    <w:rsid w:val="003D4221"/>
    <w:rsid w:val="003D4C38"/>
    <w:rsid w:val="003D4ECA"/>
    <w:rsid w:val="003E07AC"/>
    <w:rsid w:val="003E0ADC"/>
    <w:rsid w:val="003E0BF2"/>
    <w:rsid w:val="003E306A"/>
    <w:rsid w:val="003E41A4"/>
    <w:rsid w:val="003E4A1C"/>
    <w:rsid w:val="003E56C1"/>
    <w:rsid w:val="003E7E38"/>
    <w:rsid w:val="003F308C"/>
    <w:rsid w:val="003F4FF1"/>
    <w:rsid w:val="003F6C22"/>
    <w:rsid w:val="003F7012"/>
    <w:rsid w:val="00400F27"/>
    <w:rsid w:val="00402B37"/>
    <w:rsid w:val="00403B44"/>
    <w:rsid w:val="004040E1"/>
    <w:rsid w:val="00404445"/>
    <w:rsid w:val="00405180"/>
    <w:rsid w:val="00406E66"/>
    <w:rsid w:val="00407987"/>
    <w:rsid w:val="0041115D"/>
    <w:rsid w:val="004115D7"/>
    <w:rsid w:val="004122F2"/>
    <w:rsid w:val="00412701"/>
    <w:rsid w:val="00413740"/>
    <w:rsid w:val="00413CB6"/>
    <w:rsid w:val="0042098F"/>
    <w:rsid w:val="00420A2B"/>
    <w:rsid w:val="00421946"/>
    <w:rsid w:val="00426F42"/>
    <w:rsid w:val="004272CF"/>
    <w:rsid w:val="0043035B"/>
    <w:rsid w:val="00431680"/>
    <w:rsid w:val="00431BF0"/>
    <w:rsid w:val="00432496"/>
    <w:rsid w:val="00432596"/>
    <w:rsid w:val="004325D0"/>
    <w:rsid w:val="004342CA"/>
    <w:rsid w:val="00434400"/>
    <w:rsid w:val="00434630"/>
    <w:rsid w:val="004356BF"/>
    <w:rsid w:val="004364BA"/>
    <w:rsid w:val="0044654A"/>
    <w:rsid w:val="00446E28"/>
    <w:rsid w:val="00452991"/>
    <w:rsid w:val="004530B4"/>
    <w:rsid w:val="00455392"/>
    <w:rsid w:val="00457577"/>
    <w:rsid w:val="00457BF3"/>
    <w:rsid w:val="0046064F"/>
    <w:rsid w:val="00461D31"/>
    <w:rsid w:val="00461D46"/>
    <w:rsid w:val="0046213F"/>
    <w:rsid w:val="00462BBC"/>
    <w:rsid w:val="00464445"/>
    <w:rsid w:val="00467FF6"/>
    <w:rsid w:val="0047048C"/>
    <w:rsid w:val="00470642"/>
    <w:rsid w:val="0047216D"/>
    <w:rsid w:val="004753B1"/>
    <w:rsid w:val="004753E3"/>
    <w:rsid w:val="00475D6D"/>
    <w:rsid w:val="00476676"/>
    <w:rsid w:val="0048143A"/>
    <w:rsid w:val="0048154A"/>
    <w:rsid w:val="004870A9"/>
    <w:rsid w:val="00487BFA"/>
    <w:rsid w:val="00490460"/>
    <w:rsid w:val="004921A6"/>
    <w:rsid w:val="00492346"/>
    <w:rsid w:val="00493289"/>
    <w:rsid w:val="004938A3"/>
    <w:rsid w:val="004967A8"/>
    <w:rsid w:val="00496B7A"/>
    <w:rsid w:val="004A0CEB"/>
    <w:rsid w:val="004A1EEA"/>
    <w:rsid w:val="004A2619"/>
    <w:rsid w:val="004A28AF"/>
    <w:rsid w:val="004A5888"/>
    <w:rsid w:val="004A5F12"/>
    <w:rsid w:val="004A6AC6"/>
    <w:rsid w:val="004A7828"/>
    <w:rsid w:val="004A7E24"/>
    <w:rsid w:val="004B4443"/>
    <w:rsid w:val="004B4B62"/>
    <w:rsid w:val="004B56FE"/>
    <w:rsid w:val="004B5B91"/>
    <w:rsid w:val="004B5FA1"/>
    <w:rsid w:val="004B6051"/>
    <w:rsid w:val="004B7F6B"/>
    <w:rsid w:val="004C0C31"/>
    <w:rsid w:val="004C11F9"/>
    <w:rsid w:val="004C1828"/>
    <w:rsid w:val="004C1ACE"/>
    <w:rsid w:val="004C2762"/>
    <w:rsid w:val="004C28A3"/>
    <w:rsid w:val="004C30D0"/>
    <w:rsid w:val="004C3A4A"/>
    <w:rsid w:val="004C47B0"/>
    <w:rsid w:val="004C488C"/>
    <w:rsid w:val="004C57DD"/>
    <w:rsid w:val="004C63C3"/>
    <w:rsid w:val="004C6D5F"/>
    <w:rsid w:val="004D028A"/>
    <w:rsid w:val="004D05C6"/>
    <w:rsid w:val="004D422E"/>
    <w:rsid w:val="004D510B"/>
    <w:rsid w:val="004D606B"/>
    <w:rsid w:val="004D65D9"/>
    <w:rsid w:val="004D7209"/>
    <w:rsid w:val="004D79BE"/>
    <w:rsid w:val="004E4AA4"/>
    <w:rsid w:val="004E6330"/>
    <w:rsid w:val="004E6ADC"/>
    <w:rsid w:val="004E7356"/>
    <w:rsid w:val="004F0B98"/>
    <w:rsid w:val="004F25F0"/>
    <w:rsid w:val="004F275D"/>
    <w:rsid w:val="004F337C"/>
    <w:rsid w:val="004F41C4"/>
    <w:rsid w:val="004F49AC"/>
    <w:rsid w:val="004F5288"/>
    <w:rsid w:val="00500985"/>
    <w:rsid w:val="0050118E"/>
    <w:rsid w:val="00501DE1"/>
    <w:rsid w:val="0050626F"/>
    <w:rsid w:val="005070AB"/>
    <w:rsid w:val="00510BD1"/>
    <w:rsid w:val="00510C68"/>
    <w:rsid w:val="00512B8E"/>
    <w:rsid w:val="0051301A"/>
    <w:rsid w:val="00514AE7"/>
    <w:rsid w:val="00520E5E"/>
    <w:rsid w:val="00521874"/>
    <w:rsid w:val="00521B85"/>
    <w:rsid w:val="00522684"/>
    <w:rsid w:val="0052481D"/>
    <w:rsid w:val="0052488C"/>
    <w:rsid w:val="00524892"/>
    <w:rsid w:val="00526265"/>
    <w:rsid w:val="00526689"/>
    <w:rsid w:val="00526AA6"/>
    <w:rsid w:val="00527AAD"/>
    <w:rsid w:val="00527F67"/>
    <w:rsid w:val="005325D9"/>
    <w:rsid w:val="00534336"/>
    <w:rsid w:val="00534753"/>
    <w:rsid w:val="00537FCB"/>
    <w:rsid w:val="005402D0"/>
    <w:rsid w:val="0054196E"/>
    <w:rsid w:val="00543916"/>
    <w:rsid w:val="005442C2"/>
    <w:rsid w:val="00545230"/>
    <w:rsid w:val="005466A1"/>
    <w:rsid w:val="00547BFE"/>
    <w:rsid w:val="00550D1D"/>
    <w:rsid w:val="005523D3"/>
    <w:rsid w:val="00553020"/>
    <w:rsid w:val="0055319A"/>
    <w:rsid w:val="00553218"/>
    <w:rsid w:val="00554BDE"/>
    <w:rsid w:val="00554E81"/>
    <w:rsid w:val="005551FC"/>
    <w:rsid w:val="005556D4"/>
    <w:rsid w:val="00556591"/>
    <w:rsid w:val="00560B63"/>
    <w:rsid w:val="0056271C"/>
    <w:rsid w:val="00562C76"/>
    <w:rsid w:val="005701F8"/>
    <w:rsid w:val="00570409"/>
    <w:rsid w:val="005721C3"/>
    <w:rsid w:val="00573DB5"/>
    <w:rsid w:val="0057438D"/>
    <w:rsid w:val="00574A04"/>
    <w:rsid w:val="0057617C"/>
    <w:rsid w:val="005774D8"/>
    <w:rsid w:val="00577753"/>
    <w:rsid w:val="0058175B"/>
    <w:rsid w:val="00581BE2"/>
    <w:rsid w:val="00582957"/>
    <w:rsid w:val="005835B2"/>
    <w:rsid w:val="00583DCA"/>
    <w:rsid w:val="00586412"/>
    <w:rsid w:val="00590B33"/>
    <w:rsid w:val="00591318"/>
    <w:rsid w:val="0059142B"/>
    <w:rsid w:val="005920A8"/>
    <w:rsid w:val="00594DE7"/>
    <w:rsid w:val="0059545D"/>
    <w:rsid w:val="00596EFE"/>
    <w:rsid w:val="005970DA"/>
    <w:rsid w:val="005A1DD4"/>
    <w:rsid w:val="005A5124"/>
    <w:rsid w:val="005A5B7F"/>
    <w:rsid w:val="005A67B6"/>
    <w:rsid w:val="005A77D9"/>
    <w:rsid w:val="005B0950"/>
    <w:rsid w:val="005B137D"/>
    <w:rsid w:val="005B1663"/>
    <w:rsid w:val="005B2DD8"/>
    <w:rsid w:val="005B5152"/>
    <w:rsid w:val="005B67C2"/>
    <w:rsid w:val="005B74DB"/>
    <w:rsid w:val="005B7907"/>
    <w:rsid w:val="005C1E3E"/>
    <w:rsid w:val="005C2740"/>
    <w:rsid w:val="005C3669"/>
    <w:rsid w:val="005C5601"/>
    <w:rsid w:val="005C78AC"/>
    <w:rsid w:val="005C7B1F"/>
    <w:rsid w:val="005C7CC6"/>
    <w:rsid w:val="005D1699"/>
    <w:rsid w:val="005D3274"/>
    <w:rsid w:val="005D40F3"/>
    <w:rsid w:val="005D662F"/>
    <w:rsid w:val="005E2872"/>
    <w:rsid w:val="005E291A"/>
    <w:rsid w:val="005E55D5"/>
    <w:rsid w:val="005E6724"/>
    <w:rsid w:val="005F059D"/>
    <w:rsid w:val="005F1256"/>
    <w:rsid w:val="005F4BF8"/>
    <w:rsid w:val="005F6B03"/>
    <w:rsid w:val="005F6E1E"/>
    <w:rsid w:val="005F7015"/>
    <w:rsid w:val="0060197E"/>
    <w:rsid w:val="00601F11"/>
    <w:rsid w:val="0060262C"/>
    <w:rsid w:val="00602D99"/>
    <w:rsid w:val="00603994"/>
    <w:rsid w:val="00603B9C"/>
    <w:rsid w:val="006051AB"/>
    <w:rsid w:val="00605F9E"/>
    <w:rsid w:val="00606C77"/>
    <w:rsid w:val="00606E82"/>
    <w:rsid w:val="00607686"/>
    <w:rsid w:val="00611C8A"/>
    <w:rsid w:val="00612353"/>
    <w:rsid w:val="00613751"/>
    <w:rsid w:val="00614FC1"/>
    <w:rsid w:val="00615131"/>
    <w:rsid w:val="00615D95"/>
    <w:rsid w:val="00620E2C"/>
    <w:rsid w:val="0062176D"/>
    <w:rsid w:val="00623AD6"/>
    <w:rsid w:val="006261A1"/>
    <w:rsid w:val="00627947"/>
    <w:rsid w:val="00634705"/>
    <w:rsid w:val="0063747A"/>
    <w:rsid w:val="00645D35"/>
    <w:rsid w:val="00646674"/>
    <w:rsid w:val="0064727E"/>
    <w:rsid w:val="0065074D"/>
    <w:rsid w:val="00651184"/>
    <w:rsid w:val="00651713"/>
    <w:rsid w:val="00652D91"/>
    <w:rsid w:val="00654172"/>
    <w:rsid w:val="00655722"/>
    <w:rsid w:val="00655735"/>
    <w:rsid w:val="00655FBE"/>
    <w:rsid w:val="00656EE1"/>
    <w:rsid w:val="00657927"/>
    <w:rsid w:val="006605AE"/>
    <w:rsid w:val="006605CC"/>
    <w:rsid w:val="0066232C"/>
    <w:rsid w:val="00662635"/>
    <w:rsid w:val="006638CF"/>
    <w:rsid w:val="00664A31"/>
    <w:rsid w:val="006671EC"/>
    <w:rsid w:val="00667F3D"/>
    <w:rsid w:val="00670D6D"/>
    <w:rsid w:val="00670ED0"/>
    <w:rsid w:val="00671BFC"/>
    <w:rsid w:val="00672FF9"/>
    <w:rsid w:val="00673398"/>
    <w:rsid w:val="00673486"/>
    <w:rsid w:val="006736E1"/>
    <w:rsid w:val="00674B94"/>
    <w:rsid w:val="006764E4"/>
    <w:rsid w:val="00681D3C"/>
    <w:rsid w:val="00682956"/>
    <w:rsid w:val="006835F1"/>
    <w:rsid w:val="0068462E"/>
    <w:rsid w:val="0068532B"/>
    <w:rsid w:val="006877DA"/>
    <w:rsid w:val="006906E6"/>
    <w:rsid w:val="006909F4"/>
    <w:rsid w:val="00691294"/>
    <w:rsid w:val="00693B53"/>
    <w:rsid w:val="00695526"/>
    <w:rsid w:val="006959FD"/>
    <w:rsid w:val="0069682E"/>
    <w:rsid w:val="006979FF"/>
    <w:rsid w:val="006A0EB8"/>
    <w:rsid w:val="006A39A5"/>
    <w:rsid w:val="006A42BB"/>
    <w:rsid w:val="006A43AE"/>
    <w:rsid w:val="006A4510"/>
    <w:rsid w:val="006A47FB"/>
    <w:rsid w:val="006A4E3B"/>
    <w:rsid w:val="006A5A2F"/>
    <w:rsid w:val="006A5D94"/>
    <w:rsid w:val="006A6686"/>
    <w:rsid w:val="006A77B9"/>
    <w:rsid w:val="006B063E"/>
    <w:rsid w:val="006B0FDB"/>
    <w:rsid w:val="006B21CE"/>
    <w:rsid w:val="006B321C"/>
    <w:rsid w:val="006B349A"/>
    <w:rsid w:val="006B42A9"/>
    <w:rsid w:val="006B5050"/>
    <w:rsid w:val="006C038F"/>
    <w:rsid w:val="006C0DF3"/>
    <w:rsid w:val="006C45FA"/>
    <w:rsid w:val="006C505B"/>
    <w:rsid w:val="006C56B8"/>
    <w:rsid w:val="006C5B4D"/>
    <w:rsid w:val="006C60E2"/>
    <w:rsid w:val="006D0008"/>
    <w:rsid w:val="006D0560"/>
    <w:rsid w:val="006D2239"/>
    <w:rsid w:val="006D2662"/>
    <w:rsid w:val="006D3C91"/>
    <w:rsid w:val="006D5E1D"/>
    <w:rsid w:val="006D7240"/>
    <w:rsid w:val="006D73AE"/>
    <w:rsid w:val="006E06FC"/>
    <w:rsid w:val="006E1309"/>
    <w:rsid w:val="006E17D0"/>
    <w:rsid w:val="006E1A05"/>
    <w:rsid w:val="006E1F13"/>
    <w:rsid w:val="006E2693"/>
    <w:rsid w:val="006E3519"/>
    <w:rsid w:val="006E480F"/>
    <w:rsid w:val="006E50AC"/>
    <w:rsid w:val="006E6A2D"/>
    <w:rsid w:val="006F060F"/>
    <w:rsid w:val="006F0E81"/>
    <w:rsid w:val="006F15E1"/>
    <w:rsid w:val="006F1897"/>
    <w:rsid w:val="006F4E88"/>
    <w:rsid w:val="006F57DA"/>
    <w:rsid w:val="006F58A7"/>
    <w:rsid w:val="006F5CF5"/>
    <w:rsid w:val="006F62D5"/>
    <w:rsid w:val="007008B2"/>
    <w:rsid w:val="00701DDD"/>
    <w:rsid w:val="00702200"/>
    <w:rsid w:val="007026DE"/>
    <w:rsid w:val="00703158"/>
    <w:rsid w:val="0070492D"/>
    <w:rsid w:val="007062D4"/>
    <w:rsid w:val="0070721A"/>
    <w:rsid w:val="0070732C"/>
    <w:rsid w:val="007076C3"/>
    <w:rsid w:val="007101A4"/>
    <w:rsid w:val="00710AB9"/>
    <w:rsid w:val="007131B9"/>
    <w:rsid w:val="00713CBC"/>
    <w:rsid w:val="00716029"/>
    <w:rsid w:val="00716DBE"/>
    <w:rsid w:val="007201C1"/>
    <w:rsid w:val="00720967"/>
    <w:rsid w:val="007216DE"/>
    <w:rsid w:val="00721F6A"/>
    <w:rsid w:val="00723129"/>
    <w:rsid w:val="00725C1A"/>
    <w:rsid w:val="0073173F"/>
    <w:rsid w:val="00733948"/>
    <w:rsid w:val="007363D6"/>
    <w:rsid w:val="00740434"/>
    <w:rsid w:val="00740900"/>
    <w:rsid w:val="00742A00"/>
    <w:rsid w:val="00744265"/>
    <w:rsid w:val="00744368"/>
    <w:rsid w:val="007449B0"/>
    <w:rsid w:val="00744B36"/>
    <w:rsid w:val="007469AA"/>
    <w:rsid w:val="00746F27"/>
    <w:rsid w:val="00747376"/>
    <w:rsid w:val="00750D15"/>
    <w:rsid w:val="00755D0D"/>
    <w:rsid w:val="0075625E"/>
    <w:rsid w:val="00757E09"/>
    <w:rsid w:val="007602A0"/>
    <w:rsid w:val="00761CC6"/>
    <w:rsid w:val="007630F0"/>
    <w:rsid w:val="00763433"/>
    <w:rsid w:val="00764BF2"/>
    <w:rsid w:val="00765773"/>
    <w:rsid w:val="007658C7"/>
    <w:rsid w:val="0076747A"/>
    <w:rsid w:val="00767BD4"/>
    <w:rsid w:val="00767D1D"/>
    <w:rsid w:val="007715D4"/>
    <w:rsid w:val="00771D14"/>
    <w:rsid w:val="007735F7"/>
    <w:rsid w:val="00774C0C"/>
    <w:rsid w:val="00775708"/>
    <w:rsid w:val="00777073"/>
    <w:rsid w:val="00780278"/>
    <w:rsid w:val="0078144B"/>
    <w:rsid w:val="00781C36"/>
    <w:rsid w:val="00782320"/>
    <w:rsid w:val="007823B5"/>
    <w:rsid w:val="00787BBF"/>
    <w:rsid w:val="00787CF3"/>
    <w:rsid w:val="00790198"/>
    <w:rsid w:val="00792879"/>
    <w:rsid w:val="00793365"/>
    <w:rsid w:val="007937FA"/>
    <w:rsid w:val="00793807"/>
    <w:rsid w:val="007938E2"/>
    <w:rsid w:val="00795F83"/>
    <w:rsid w:val="00796088"/>
    <w:rsid w:val="007970D1"/>
    <w:rsid w:val="007A06CD"/>
    <w:rsid w:val="007A36BE"/>
    <w:rsid w:val="007A42F5"/>
    <w:rsid w:val="007A4944"/>
    <w:rsid w:val="007A4F4D"/>
    <w:rsid w:val="007A599B"/>
    <w:rsid w:val="007A7645"/>
    <w:rsid w:val="007A7D15"/>
    <w:rsid w:val="007B267D"/>
    <w:rsid w:val="007B2DD0"/>
    <w:rsid w:val="007B3598"/>
    <w:rsid w:val="007B398A"/>
    <w:rsid w:val="007B3C76"/>
    <w:rsid w:val="007B408E"/>
    <w:rsid w:val="007B4135"/>
    <w:rsid w:val="007B496A"/>
    <w:rsid w:val="007B4A81"/>
    <w:rsid w:val="007B791D"/>
    <w:rsid w:val="007B7E14"/>
    <w:rsid w:val="007C0548"/>
    <w:rsid w:val="007C2053"/>
    <w:rsid w:val="007C2F98"/>
    <w:rsid w:val="007C38E1"/>
    <w:rsid w:val="007C39A9"/>
    <w:rsid w:val="007C5B4A"/>
    <w:rsid w:val="007C704F"/>
    <w:rsid w:val="007C7A9A"/>
    <w:rsid w:val="007C7E3A"/>
    <w:rsid w:val="007D0C9D"/>
    <w:rsid w:val="007D15AE"/>
    <w:rsid w:val="007D30A1"/>
    <w:rsid w:val="007D4D78"/>
    <w:rsid w:val="007D6A00"/>
    <w:rsid w:val="007D7301"/>
    <w:rsid w:val="007E06BF"/>
    <w:rsid w:val="007E07DB"/>
    <w:rsid w:val="007E2FD1"/>
    <w:rsid w:val="007E3CB6"/>
    <w:rsid w:val="007E3FF8"/>
    <w:rsid w:val="007E458D"/>
    <w:rsid w:val="007E48CC"/>
    <w:rsid w:val="007E65C0"/>
    <w:rsid w:val="007E7575"/>
    <w:rsid w:val="007F0272"/>
    <w:rsid w:val="007F1165"/>
    <w:rsid w:val="007F218F"/>
    <w:rsid w:val="007F2567"/>
    <w:rsid w:val="007F2A9D"/>
    <w:rsid w:val="007F2CEA"/>
    <w:rsid w:val="007F2E5D"/>
    <w:rsid w:val="007F3ECC"/>
    <w:rsid w:val="007F69F9"/>
    <w:rsid w:val="00800979"/>
    <w:rsid w:val="00800F3F"/>
    <w:rsid w:val="00801FE3"/>
    <w:rsid w:val="00802A48"/>
    <w:rsid w:val="00803079"/>
    <w:rsid w:val="0080414D"/>
    <w:rsid w:val="00804468"/>
    <w:rsid w:val="00805081"/>
    <w:rsid w:val="00805963"/>
    <w:rsid w:val="0081615F"/>
    <w:rsid w:val="00817980"/>
    <w:rsid w:val="008200C6"/>
    <w:rsid w:val="008205B0"/>
    <w:rsid w:val="0082065F"/>
    <w:rsid w:val="00822CD5"/>
    <w:rsid w:val="00825A50"/>
    <w:rsid w:val="00830EB4"/>
    <w:rsid w:val="008322D9"/>
    <w:rsid w:val="0083421C"/>
    <w:rsid w:val="00834AAF"/>
    <w:rsid w:val="00835552"/>
    <w:rsid w:val="00837051"/>
    <w:rsid w:val="0083733C"/>
    <w:rsid w:val="008403E9"/>
    <w:rsid w:val="008436C1"/>
    <w:rsid w:val="00843910"/>
    <w:rsid w:val="00844CB4"/>
    <w:rsid w:val="008476C9"/>
    <w:rsid w:val="008508DD"/>
    <w:rsid w:val="00853921"/>
    <w:rsid w:val="00855B87"/>
    <w:rsid w:val="008575FC"/>
    <w:rsid w:val="00857F0F"/>
    <w:rsid w:val="00860352"/>
    <w:rsid w:val="0086102F"/>
    <w:rsid w:val="008613AB"/>
    <w:rsid w:val="00862F77"/>
    <w:rsid w:val="008639E3"/>
    <w:rsid w:val="00863F96"/>
    <w:rsid w:val="00863FA0"/>
    <w:rsid w:val="00866035"/>
    <w:rsid w:val="00871450"/>
    <w:rsid w:val="00873B95"/>
    <w:rsid w:val="0087568B"/>
    <w:rsid w:val="00875DE8"/>
    <w:rsid w:val="00877AAF"/>
    <w:rsid w:val="00877D61"/>
    <w:rsid w:val="00881194"/>
    <w:rsid w:val="008818EA"/>
    <w:rsid w:val="00882174"/>
    <w:rsid w:val="00882909"/>
    <w:rsid w:val="0088425E"/>
    <w:rsid w:val="008869ED"/>
    <w:rsid w:val="00887E6A"/>
    <w:rsid w:val="00887F23"/>
    <w:rsid w:val="008923B7"/>
    <w:rsid w:val="00895D60"/>
    <w:rsid w:val="00895F19"/>
    <w:rsid w:val="0089613D"/>
    <w:rsid w:val="00896742"/>
    <w:rsid w:val="00896BEF"/>
    <w:rsid w:val="008A2968"/>
    <w:rsid w:val="008A4BC8"/>
    <w:rsid w:val="008A6C45"/>
    <w:rsid w:val="008B0218"/>
    <w:rsid w:val="008B0791"/>
    <w:rsid w:val="008B0D78"/>
    <w:rsid w:val="008B1E2F"/>
    <w:rsid w:val="008B4473"/>
    <w:rsid w:val="008B6E2A"/>
    <w:rsid w:val="008B7B1B"/>
    <w:rsid w:val="008C3BE3"/>
    <w:rsid w:val="008C49D2"/>
    <w:rsid w:val="008C6A15"/>
    <w:rsid w:val="008C6F34"/>
    <w:rsid w:val="008C7697"/>
    <w:rsid w:val="008C7804"/>
    <w:rsid w:val="008D32A0"/>
    <w:rsid w:val="008D3B78"/>
    <w:rsid w:val="008D4FC0"/>
    <w:rsid w:val="008D5D58"/>
    <w:rsid w:val="008E28AC"/>
    <w:rsid w:val="008E50F3"/>
    <w:rsid w:val="008E5B71"/>
    <w:rsid w:val="008E64F2"/>
    <w:rsid w:val="008E6D01"/>
    <w:rsid w:val="008F2141"/>
    <w:rsid w:val="008F30AF"/>
    <w:rsid w:val="008F3834"/>
    <w:rsid w:val="008F44AE"/>
    <w:rsid w:val="008F4523"/>
    <w:rsid w:val="008F459D"/>
    <w:rsid w:val="008F7F15"/>
    <w:rsid w:val="00901BCC"/>
    <w:rsid w:val="0090268F"/>
    <w:rsid w:val="009026EE"/>
    <w:rsid w:val="0090628D"/>
    <w:rsid w:val="0090638A"/>
    <w:rsid w:val="00906D73"/>
    <w:rsid w:val="009071A2"/>
    <w:rsid w:val="0090726E"/>
    <w:rsid w:val="00910090"/>
    <w:rsid w:val="009114CB"/>
    <w:rsid w:val="00912F3D"/>
    <w:rsid w:val="0091404D"/>
    <w:rsid w:val="00915F16"/>
    <w:rsid w:val="0091732B"/>
    <w:rsid w:val="00920D09"/>
    <w:rsid w:val="00925046"/>
    <w:rsid w:val="009275A8"/>
    <w:rsid w:val="00930D1E"/>
    <w:rsid w:val="00933FEC"/>
    <w:rsid w:val="00934407"/>
    <w:rsid w:val="009345C2"/>
    <w:rsid w:val="00936C0F"/>
    <w:rsid w:val="009413EE"/>
    <w:rsid w:val="00942824"/>
    <w:rsid w:val="0094518F"/>
    <w:rsid w:val="009503E8"/>
    <w:rsid w:val="0095203D"/>
    <w:rsid w:val="009523EB"/>
    <w:rsid w:val="00953976"/>
    <w:rsid w:val="00953BB4"/>
    <w:rsid w:val="00954B00"/>
    <w:rsid w:val="00957534"/>
    <w:rsid w:val="00961AD8"/>
    <w:rsid w:val="009628A2"/>
    <w:rsid w:val="009646E0"/>
    <w:rsid w:val="009664CC"/>
    <w:rsid w:val="009670A6"/>
    <w:rsid w:val="00967CC9"/>
    <w:rsid w:val="0097072B"/>
    <w:rsid w:val="009715CA"/>
    <w:rsid w:val="00972753"/>
    <w:rsid w:val="009733CF"/>
    <w:rsid w:val="00973B2D"/>
    <w:rsid w:val="00973BAC"/>
    <w:rsid w:val="00975276"/>
    <w:rsid w:val="009765EF"/>
    <w:rsid w:val="00981EED"/>
    <w:rsid w:val="00982404"/>
    <w:rsid w:val="00982C57"/>
    <w:rsid w:val="009841BF"/>
    <w:rsid w:val="00984D5D"/>
    <w:rsid w:val="009850C8"/>
    <w:rsid w:val="009859F8"/>
    <w:rsid w:val="00990320"/>
    <w:rsid w:val="00991C9F"/>
    <w:rsid w:val="009935A1"/>
    <w:rsid w:val="009967F8"/>
    <w:rsid w:val="00996D3F"/>
    <w:rsid w:val="009972A5"/>
    <w:rsid w:val="009973D0"/>
    <w:rsid w:val="00997B83"/>
    <w:rsid w:val="009A1A11"/>
    <w:rsid w:val="009A5186"/>
    <w:rsid w:val="009A560A"/>
    <w:rsid w:val="009B0A6B"/>
    <w:rsid w:val="009B2035"/>
    <w:rsid w:val="009B3100"/>
    <w:rsid w:val="009B409A"/>
    <w:rsid w:val="009B6845"/>
    <w:rsid w:val="009C025A"/>
    <w:rsid w:val="009C0D0A"/>
    <w:rsid w:val="009C2955"/>
    <w:rsid w:val="009C4E3F"/>
    <w:rsid w:val="009C515D"/>
    <w:rsid w:val="009C5582"/>
    <w:rsid w:val="009D07A0"/>
    <w:rsid w:val="009D10DE"/>
    <w:rsid w:val="009D19AB"/>
    <w:rsid w:val="009D27F5"/>
    <w:rsid w:val="009D2FC4"/>
    <w:rsid w:val="009D31F4"/>
    <w:rsid w:val="009D6368"/>
    <w:rsid w:val="009D6C46"/>
    <w:rsid w:val="009D715F"/>
    <w:rsid w:val="009E023F"/>
    <w:rsid w:val="009E3499"/>
    <w:rsid w:val="009E3C92"/>
    <w:rsid w:val="009E3E8C"/>
    <w:rsid w:val="009E4AC9"/>
    <w:rsid w:val="009E56A7"/>
    <w:rsid w:val="009E639B"/>
    <w:rsid w:val="009E7D36"/>
    <w:rsid w:val="009F027F"/>
    <w:rsid w:val="009F05F6"/>
    <w:rsid w:val="009F1058"/>
    <w:rsid w:val="009F1F5A"/>
    <w:rsid w:val="009F21B2"/>
    <w:rsid w:val="009F3C2A"/>
    <w:rsid w:val="009F70F9"/>
    <w:rsid w:val="009F7D43"/>
    <w:rsid w:val="00A0052C"/>
    <w:rsid w:val="00A006F0"/>
    <w:rsid w:val="00A01066"/>
    <w:rsid w:val="00A01243"/>
    <w:rsid w:val="00A02322"/>
    <w:rsid w:val="00A0341D"/>
    <w:rsid w:val="00A034A1"/>
    <w:rsid w:val="00A03C8E"/>
    <w:rsid w:val="00A13733"/>
    <w:rsid w:val="00A139AE"/>
    <w:rsid w:val="00A14442"/>
    <w:rsid w:val="00A15CB6"/>
    <w:rsid w:val="00A15DAB"/>
    <w:rsid w:val="00A21B06"/>
    <w:rsid w:val="00A25FEF"/>
    <w:rsid w:val="00A26E53"/>
    <w:rsid w:val="00A307DF"/>
    <w:rsid w:val="00A34FD6"/>
    <w:rsid w:val="00A36439"/>
    <w:rsid w:val="00A41632"/>
    <w:rsid w:val="00A41B48"/>
    <w:rsid w:val="00A427D8"/>
    <w:rsid w:val="00A43798"/>
    <w:rsid w:val="00A4469B"/>
    <w:rsid w:val="00A47B75"/>
    <w:rsid w:val="00A50029"/>
    <w:rsid w:val="00A508FC"/>
    <w:rsid w:val="00A50FE7"/>
    <w:rsid w:val="00A523D5"/>
    <w:rsid w:val="00A549BA"/>
    <w:rsid w:val="00A6091A"/>
    <w:rsid w:val="00A656B5"/>
    <w:rsid w:val="00A65E84"/>
    <w:rsid w:val="00A67E9C"/>
    <w:rsid w:val="00A70B49"/>
    <w:rsid w:val="00A71EEA"/>
    <w:rsid w:val="00A745DE"/>
    <w:rsid w:val="00A74A37"/>
    <w:rsid w:val="00A74D5E"/>
    <w:rsid w:val="00A770CB"/>
    <w:rsid w:val="00A77D1A"/>
    <w:rsid w:val="00A80559"/>
    <w:rsid w:val="00A808A6"/>
    <w:rsid w:val="00A833B6"/>
    <w:rsid w:val="00A8454D"/>
    <w:rsid w:val="00A85418"/>
    <w:rsid w:val="00A90806"/>
    <w:rsid w:val="00A909BB"/>
    <w:rsid w:val="00A90FAF"/>
    <w:rsid w:val="00A91205"/>
    <w:rsid w:val="00A92DAA"/>
    <w:rsid w:val="00A93D5B"/>
    <w:rsid w:val="00A94FFA"/>
    <w:rsid w:val="00A96C38"/>
    <w:rsid w:val="00AA0A08"/>
    <w:rsid w:val="00AA0E40"/>
    <w:rsid w:val="00AA12B1"/>
    <w:rsid w:val="00AA1FED"/>
    <w:rsid w:val="00AA24A0"/>
    <w:rsid w:val="00AA71D9"/>
    <w:rsid w:val="00AA7934"/>
    <w:rsid w:val="00AB322C"/>
    <w:rsid w:val="00AB51BF"/>
    <w:rsid w:val="00AB6238"/>
    <w:rsid w:val="00AB6980"/>
    <w:rsid w:val="00AC022F"/>
    <w:rsid w:val="00AC1DF3"/>
    <w:rsid w:val="00AC42B2"/>
    <w:rsid w:val="00AD034F"/>
    <w:rsid w:val="00AD08B3"/>
    <w:rsid w:val="00AD159E"/>
    <w:rsid w:val="00AD15F6"/>
    <w:rsid w:val="00AD2BDD"/>
    <w:rsid w:val="00AD2C3A"/>
    <w:rsid w:val="00AD320B"/>
    <w:rsid w:val="00AD3D10"/>
    <w:rsid w:val="00AD662F"/>
    <w:rsid w:val="00AD6C04"/>
    <w:rsid w:val="00AD6F9F"/>
    <w:rsid w:val="00AD7851"/>
    <w:rsid w:val="00AE164F"/>
    <w:rsid w:val="00AE4942"/>
    <w:rsid w:val="00AE4C3E"/>
    <w:rsid w:val="00AE4C75"/>
    <w:rsid w:val="00AE4D9E"/>
    <w:rsid w:val="00AE6341"/>
    <w:rsid w:val="00AF46D5"/>
    <w:rsid w:val="00AF658A"/>
    <w:rsid w:val="00AF7247"/>
    <w:rsid w:val="00AF72F0"/>
    <w:rsid w:val="00AF7A4B"/>
    <w:rsid w:val="00AF7D44"/>
    <w:rsid w:val="00B0538A"/>
    <w:rsid w:val="00B057CE"/>
    <w:rsid w:val="00B1170B"/>
    <w:rsid w:val="00B11980"/>
    <w:rsid w:val="00B12713"/>
    <w:rsid w:val="00B1310D"/>
    <w:rsid w:val="00B15F71"/>
    <w:rsid w:val="00B17401"/>
    <w:rsid w:val="00B1741B"/>
    <w:rsid w:val="00B201A3"/>
    <w:rsid w:val="00B20216"/>
    <w:rsid w:val="00B2132A"/>
    <w:rsid w:val="00B22398"/>
    <w:rsid w:val="00B230A3"/>
    <w:rsid w:val="00B268A9"/>
    <w:rsid w:val="00B271AE"/>
    <w:rsid w:val="00B27B4E"/>
    <w:rsid w:val="00B27F54"/>
    <w:rsid w:val="00B31378"/>
    <w:rsid w:val="00B34443"/>
    <w:rsid w:val="00B34E00"/>
    <w:rsid w:val="00B40EC3"/>
    <w:rsid w:val="00B427EF"/>
    <w:rsid w:val="00B42861"/>
    <w:rsid w:val="00B428FD"/>
    <w:rsid w:val="00B43531"/>
    <w:rsid w:val="00B4746D"/>
    <w:rsid w:val="00B476AE"/>
    <w:rsid w:val="00B47D7E"/>
    <w:rsid w:val="00B47E9D"/>
    <w:rsid w:val="00B5021F"/>
    <w:rsid w:val="00B507F3"/>
    <w:rsid w:val="00B508CB"/>
    <w:rsid w:val="00B518DC"/>
    <w:rsid w:val="00B51BD0"/>
    <w:rsid w:val="00B5212C"/>
    <w:rsid w:val="00B5255A"/>
    <w:rsid w:val="00B57E5E"/>
    <w:rsid w:val="00B60FA0"/>
    <w:rsid w:val="00B61E17"/>
    <w:rsid w:val="00B61E8C"/>
    <w:rsid w:val="00B638DE"/>
    <w:rsid w:val="00B642BE"/>
    <w:rsid w:val="00B665AB"/>
    <w:rsid w:val="00B6689D"/>
    <w:rsid w:val="00B7036F"/>
    <w:rsid w:val="00B720C9"/>
    <w:rsid w:val="00B72C3A"/>
    <w:rsid w:val="00B7427C"/>
    <w:rsid w:val="00B74FB4"/>
    <w:rsid w:val="00B75DE8"/>
    <w:rsid w:val="00B7698C"/>
    <w:rsid w:val="00B7730D"/>
    <w:rsid w:val="00B77B1B"/>
    <w:rsid w:val="00B81956"/>
    <w:rsid w:val="00B81FDC"/>
    <w:rsid w:val="00B8218B"/>
    <w:rsid w:val="00B82CD3"/>
    <w:rsid w:val="00B8428D"/>
    <w:rsid w:val="00B84F7E"/>
    <w:rsid w:val="00B865B3"/>
    <w:rsid w:val="00B871E6"/>
    <w:rsid w:val="00B90123"/>
    <w:rsid w:val="00B90BE9"/>
    <w:rsid w:val="00B91FD8"/>
    <w:rsid w:val="00B94A23"/>
    <w:rsid w:val="00B96DD6"/>
    <w:rsid w:val="00B97940"/>
    <w:rsid w:val="00BA0552"/>
    <w:rsid w:val="00BA0BA2"/>
    <w:rsid w:val="00BA0C28"/>
    <w:rsid w:val="00BA1C80"/>
    <w:rsid w:val="00BA3FE9"/>
    <w:rsid w:val="00BA4120"/>
    <w:rsid w:val="00BA66F4"/>
    <w:rsid w:val="00BA6AC6"/>
    <w:rsid w:val="00BB0377"/>
    <w:rsid w:val="00BB0A36"/>
    <w:rsid w:val="00BB29ED"/>
    <w:rsid w:val="00BB311C"/>
    <w:rsid w:val="00BB40D7"/>
    <w:rsid w:val="00BB47F3"/>
    <w:rsid w:val="00BB4CE3"/>
    <w:rsid w:val="00BB6D87"/>
    <w:rsid w:val="00BC3372"/>
    <w:rsid w:val="00BC4FBE"/>
    <w:rsid w:val="00BC55C6"/>
    <w:rsid w:val="00BC5696"/>
    <w:rsid w:val="00BC5E66"/>
    <w:rsid w:val="00BC7F4F"/>
    <w:rsid w:val="00BD01B5"/>
    <w:rsid w:val="00BD335B"/>
    <w:rsid w:val="00BD6B06"/>
    <w:rsid w:val="00BD7266"/>
    <w:rsid w:val="00BE1A95"/>
    <w:rsid w:val="00BE6AD3"/>
    <w:rsid w:val="00BF1086"/>
    <w:rsid w:val="00BF3850"/>
    <w:rsid w:val="00BF4BDA"/>
    <w:rsid w:val="00BF5FE1"/>
    <w:rsid w:val="00BF649C"/>
    <w:rsid w:val="00BF65A2"/>
    <w:rsid w:val="00BF7313"/>
    <w:rsid w:val="00BF7471"/>
    <w:rsid w:val="00BF75B2"/>
    <w:rsid w:val="00C01A2E"/>
    <w:rsid w:val="00C056B2"/>
    <w:rsid w:val="00C05F37"/>
    <w:rsid w:val="00C06E10"/>
    <w:rsid w:val="00C06FD2"/>
    <w:rsid w:val="00C10017"/>
    <w:rsid w:val="00C1369E"/>
    <w:rsid w:val="00C14D60"/>
    <w:rsid w:val="00C1547C"/>
    <w:rsid w:val="00C15B85"/>
    <w:rsid w:val="00C2044F"/>
    <w:rsid w:val="00C2348A"/>
    <w:rsid w:val="00C234BC"/>
    <w:rsid w:val="00C23F36"/>
    <w:rsid w:val="00C25DD6"/>
    <w:rsid w:val="00C266EE"/>
    <w:rsid w:val="00C3028D"/>
    <w:rsid w:val="00C345DD"/>
    <w:rsid w:val="00C35009"/>
    <w:rsid w:val="00C354F3"/>
    <w:rsid w:val="00C35677"/>
    <w:rsid w:val="00C3657B"/>
    <w:rsid w:val="00C42E37"/>
    <w:rsid w:val="00C44017"/>
    <w:rsid w:val="00C44D97"/>
    <w:rsid w:val="00C44DBF"/>
    <w:rsid w:val="00C505EF"/>
    <w:rsid w:val="00C51D76"/>
    <w:rsid w:val="00C52A3C"/>
    <w:rsid w:val="00C538CA"/>
    <w:rsid w:val="00C54444"/>
    <w:rsid w:val="00C62FD2"/>
    <w:rsid w:val="00C6608A"/>
    <w:rsid w:val="00C71884"/>
    <w:rsid w:val="00C72FC2"/>
    <w:rsid w:val="00C75E59"/>
    <w:rsid w:val="00C762B6"/>
    <w:rsid w:val="00C775D0"/>
    <w:rsid w:val="00C779ED"/>
    <w:rsid w:val="00C83E2D"/>
    <w:rsid w:val="00C84D1E"/>
    <w:rsid w:val="00C853F1"/>
    <w:rsid w:val="00C85C5F"/>
    <w:rsid w:val="00C86CA0"/>
    <w:rsid w:val="00C91F8C"/>
    <w:rsid w:val="00C9234E"/>
    <w:rsid w:val="00C92425"/>
    <w:rsid w:val="00C933C1"/>
    <w:rsid w:val="00C95E98"/>
    <w:rsid w:val="00C96764"/>
    <w:rsid w:val="00C9737A"/>
    <w:rsid w:val="00C97683"/>
    <w:rsid w:val="00CA4FFB"/>
    <w:rsid w:val="00CA63D3"/>
    <w:rsid w:val="00CA798E"/>
    <w:rsid w:val="00CB07CB"/>
    <w:rsid w:val="00CB14C7"/>
    <w:rsid w:val="00CB5AD7"/>
    <w:rsid w:val="00CB6C8A"/>
    <w:rsid w:val="00CC04BF"/>
    <w:rsid w:val="00CC08B1"/>
    <w:rsid w:val="00CC395B"/>
    <w:rsid w:val="00CC4F6F"/>
    <w:rsid w:val="00CC70DB"/>
    <w:rsid w:val="00CD336C"/>
    <w:rsid w:val="00CD36DC"/>
    <w:rsid w:val="00CD38FD"/>
    <w:rsid w:val="00CD3AA0"/>
    <w:rsid w:val="00CD40DE"/>
    <w:rsid w:val="00CD4865"/>
    <w:rsid w:val="00CD5467"/>
    <w:rsid w:val="00CD65BA"/>
    <w:rsid w:val="00CE19AD"/>
    <w:rsid w:val="00CE1EFF"/>
    <w:rsid w:val="00CE1F99"/>
    <w:rsid w:val="00CE3A23"/>
    <w:rsid w:val="00CE6FFE"/>
    <w:rsid w:val="00CE7C22"/>
    <w:rsid w:val="00CE7D6C"/>
    <w:rsid w:val="00CF0550"/>
    <w:rsid w:val="00CF0953"/>
    <w:rsid w:val="00CF14F0"/>
    <w:rsid w:val="00CF4999"/>
    <w:rsid w:val="00CF7722"/>
    <w:rsid w:val="00CF79B5"/>
    <w:rsid w:val="00D040D7"/>
    <w:rsid w:val="00D06B09"/>
    <w:rsid w:val="00D07050"/>
    <w:rsid w:val="00D1289C"/>
    <w:rsid w:val="00D13D1F"/>
    <w:rsid w:val="00D142E9"/>
    <w:rsid w:val="00D15FF1"/>
    <w:rsid w:val="00D16B9A"/>
    <w:rsid w:val="00D177EF"/>
    <w:rsid w:val="00D20A8A"/>
    <w:rsid w:val="00D21F0F"/>
    <w:rsid w:val="00D233FA"/>
    <w:rsid w:val="00D2698F"/>
    <w:rsid w:val="00D2753D"/>
    <w:rsid w:val="00D3056E"/>
    <w:rsid w:val="00D324B0"/>
    <w:rsid w:val="00D358E9"/>
    <w:rsid w:val="00D36ED4"/>
    <w:rsid w:val="00D36F97"/>
    <w:rsid w:val="00D37C74"/>
    <w:rsid w:val="00D37C75"/>
    <w:rsid w:val="00D4661F"/>
    <w:rsid w:val="00D46970"/>
    <w:rsid w:val="00D47DB9"/>
    <w:rsid w:val="00D51C25"/>
    <w:rsid w:val="00D530F7"/>
    <w:rsid w:val="00D55775"/>
    <w:rsid w:val="00D57B12"/>
    <w:rsid w:val="00D60529"/>
    <w:rsid w:val="00D609DA"/>
    <w:rsid w:val="00D616F5"/>
    <w:rsid w:val="00D61C8D"/>
    <w:rsid w:val="00D6596B"/>
    <w:rsid w:val="00D71C1E"/>
    <w:rsid w:val="00D746B7"/>
    <w:rsid w:val="00D75201"/>
    <w:rsid w:val="00D766DC"/>
    <w:rsid w:val="00D77CE6"/>
    <w:rsid w:val="00D8010F"/>
    <w:rsid w:val="00D814B9"/>
    <w:rsid w:val="00D81508"/>
    <w:rsid w:val="00D825B0"/>
    <w:rsid w:val="00D8579C"/>
    <w:rsid w:val="00D873F8"/>
    <w:rsid w:val="00D90179"/>
    <w:rsid w:val="00D90436"/>
    <w:rsid w:val="00D90AD9"/>
    <w:rsid w:val="00D91D23"/>
    <w:rsid w:val="00D93265"/>
    <w:rsid w:val="00D93277"/>
    <w:rsid w:val="00D96555"/>
    <w:rsid w:val="00DA17FD"/>
    <w:rsid w:val="00DA29D0"/>
    <w:rsid w:val="00DA3F8C"/>
    <w:rsid w:val="00DA4355"/>
    <w:rsid w:val="00DA6412"/>
    <w:rsid w:val="00DA7353"/>
    <w:rsid w:val="00DA7538"/>
    <w:rsid w:val="00DA7C0D"/>
    <w:rsid w:val="00DA7CBF"/>
    <w:rsid w:val="00DB06CF"/>
    <w:rsid w:val="00DB15AD"/>
    <w:rsid w:val="00DB4412"/>
    <w:rsid w:val="00DB4A7C"/>
    <w:rsid w:val="00DB51D5"/>
    <w:rsid w:val="00DB55B7"/>
    <w:rsid w:val="00DB67A8"/>
    <w:rsid w:val="00DB7108"/>
    <w:rsid w:val="00DC0A5A"/>
    <w:rsid w:val="00DC156E"/>
    <w:rsid w:val="00DC545E"/>
    <w:rsid w:val="00DC55B7"/>
    <w:rsid w:val="00DD50A4"/>
    <w:rsid w:val="00DD5E22"/>
    <w:rsid w:val="00DE2276"/>
    <w:rsid w:val="00DE3ED8"/>
    <w:rsid w:val="00DE4977"/>
    <w:rsid w:val="00DE5423"/>
    <w:rsid w:val="00DE6B99"/>
    <w:rsid w:val="00DF054C"/>
    <w:rsid w:val="00DF1265"/>
    <w:rsid w:val="00DF1BB5"/>
    <w:rsid w:val="00DF2078"/>
    <w:rsid w:val="00DF3264"/>
    <w:rsid w:val="00DF3457"/>
    <w:rsid w:val="00DF547C"/>
    <w:rsid w:val="00DF7A32"/>
    <w:rsid w:val="00E00184"/>
    <w:rsid w:val="00E014F9"/>
    <w:rsid w:val="00E01B47"/>
    <w:rsid w:val="00E04B18"/>
    <w:rsid w:val="00E04CE1"/>
    <w:rsid w:val="00E061FC"/>
    <w:rsid w:val="00E06A05"/>
    <w:rsid w:val="00E07D03"/>
    <w:rsid w:val="00E07E15"/>
    <w:rsid w:val="00E10485"/>
    <w:rsid w:val="00E11530"/>
    <w:rsid w:val="00E1277D"/>
    <w:rsid w:val="00E14864"/>
    <w:rsid w:val="00E14F16"/>
    <w:rsid w:val="00E15AC9"/>
    <w:rsid w:val="00E163CD"/>
    <w:rsid w:val="00E16579"/>
    <w:rsid w:val="00E1755F"/>
    <w:rsid w:val="00E17EFF"/>
    <w:rsid w:val="00E218FC"/>
    <w:rsid w:val="00E249BB"/>
    <w:rsid w:val="00E25D86"/>
    <w:rsid w:val="00E30D72"/>
    <w:rsid w:val="00E310DF"/>
    <w:rsid w:val="00E31E89"/>
    <w:rsid w:val="00E3235C"/>
    <w:rsid w:val="00E33670"/>
    <w:rsid w:val="00E35881"/>
    <w:rsid w:val="00E36263"/>
    <w:rsid w:val="00E37F28"/>
    <w:rsid w:val="00E40583"/>
    <w:rsid w:val="00E411AE"/>
    <w:rsid w:val="00E4260B"/>
    <w:rsid w:val="00E44970"/>
    <w:rsid w:val="00E459D8"/>
    <w:rsid w:val="00E45A72"/>
    <w:rsid w:val="00E47BF5"/>
    <w:rsid w:val="00E47F83"/>
    <w:rsid w:val="00E50113"/>
    <w:rsid w:val="00E53F69"/>
    <w:rsid w:val="00E54FE6"/>
    <w:rsid w:val="00E55FE3"/>
    <w:rsid w:val="00E56483"/>
    <w:rsid w:val="00E57EA3"/>
    <w:rsid w:val="00E611DF"/>
    <w:rsid w:val="00E61677"/>
    <w:rsid w:val="00E62A22"/>
    <w:rsid w:val="00E62D69"/>
    <w:rsid w:val="00E64437"/>
    <w:rsid w:val="00E64B4C"/>
    <w:rsid w:val="00E706B1"/>
    <w:rsid w:val="00E71F5E"/>
    <w:rsid w:val="00E725D3"/>
    <w:rsid w:val="00E77662"/>
    <w:rsid w:val="00E77C0C"/>
    <w:rsid w:val="00E80157"/>
    <w:rsid w:val="00E82248"/>
    <w:rsid w:val="00E86DA0"/>
    <w:rsid w:val="00E8790B"/>
    <w:rsid w:val="00E87B33"/>
    <w:rsid w:val="00E90F63"/>
    <w:rsid w:val="00E92135"/>
    <w:rsid w:val="00E9221F"/>
    <w:rsid w:val="00E93444"/>
    <w:rsid w:val="00E937F3"/>
    <w:rsid w:val="00E95068"/>
    <w:rsid w:val="00E955B8"/>
    <w:rsid w:val="00EA089B"/>
    <w:rsid w:val="00EA09C5"/>
    <w:rsid w:val="00EA0F6D"/>
    <w:rsid w:val="00EA159A"/>
    <w:rsid w:val="00EA3BF4"/>
    <w:rsid w:val="00EA4783"/>
    <w:rsid w:val="00EA4E85"/>
    <w:rsid w:val="00EA6D1E"/>
    <w:rsid w:val="00EB7D3A"/>
    <w:rsid w:val="00EC54B1"/>
    <w:rsid w:val="00EC56A7"/>
    <w:rsid w:val="00EC58D3"/>
    <w:rsid w:val="00EC5C6A"/>
    <w:rsid w:val="00EC61E5"/>
    <w:rsid w:val="00ED0B59"/>
    <w:rsid w:val="00ED0ED5"/>
    <w:rsid w:val="00ED1E9A"/>
    <w:rsid w:val="00ED49D0"/>
    <w:rsid w:val="00ED55CF"/>
    <w:rsid w:val="00ED69B0"/>
    <w:rsid w:val="00ED759C"/>
    <w:rsid w:val="00EE00DC"/>
    <w:rsid w:val="00EE0E00"/>
    <w:rsid w:val="00EE1253"/>
    <w:rsid w:val="00EE24E8"/>
    <w:rsid w:val="00EE492F"/>
    <w:rsid w:val="00EE529D"/>
    <w:rsid w:val="00EE6692"/>
    <w:rsid w:val="00EE6867"/>
    <w:rsid w:val="00EF072B"/>
    <w:rsid w:val="00EF1989"/>
    <w:rsid w:val="00EF30BF"/>
    <w:rsid w:val="00EF51E1"/>
    <w:rsid w:val="00F001BD"/>
    <w:rsid w:val="00F0068E"/>
    <w:rsid w:val="00F010CE"/>
    <w:rsid w:val="00F03236"/>
    <w:rsid w:val="00F04C05"/>
    <w:rsid w:val="00F06FDE"/>
    <w:rsid w:val="00F1040C"/>
    <w:rsid w:val="00F10A87"/>
    <w:rsid w:val="00F122A4"/>
    <w:rsid w:val="00F13BE9"/>
    <w:rsid w:val="00F16A0D"/>
    <w:rsid w:val="00F174E9"/>
    <w:rsid w:val="00F20DB8"/>
    <w:rsid w:val="00F22C88"/>
    <w:rsid w:val="00F236A5"/>
    <w:rsid w:val="00F24CE2"/>
    <w:rsid w:val="00F250A5"/>
    <w:rsid w:val="00F27A69"/>
    <w:rsid w:val="00F30AEE"/>
    <w:rsid w:val="00F32231"/>
    <w:rsid w:val="00F32EBB"/>
    <w:rsid w:val="00F331D5"/>
    <w:rsid w:val="00F351F5"/>
    <w:rsid w:val="00F37728"/>
    <w:rsid w:val="00F3772F"/>
    <w:rsid w:val="00F436BE"/>
    <w:rsid w:val="00F4473C"/>
    <w:rsid w:val="00F45645"/>
    <w:rsid w:val="00F45A93"/>
    <w:rsid w:val="00F46B30"/>
    <w:rsid w:val="00F47527"/>
    <w:rsid w:val="00F51C0E"/>
    <w:rsid w:val="00F52760"/>
    <w:rsid w:val="00F53239"/>
    <w:rsid w:val="00F547BA"/>
    <w:rsid w:val="00F54CB9"/>
    <w:rsid w:val="00F5666A"/>
    <w:rsid w:val="00F56C0E"/>
    <w:rsid w:val="00F571AF"/>
    <w:rsid w:val="00F57AA8"/>
    <w:rsid w:val="00F60A15"/>
    <w:rsid w:val="00F6300B"/>
    <w:rsid w:val="00F66D97"/>
    <w:rsid w:val="00F70959"/>
    <w:rsid w:val="00F710CD"/>
    <w:rsid w:val="00F731AB"/>
    <w:rsid w:val="00F759E8"/>
    <w:rsid w:val="00F771A9"/>
    <w:rsid w:val="00F77598"/>
    <w:rsid w:val="00F806AD"/>
    <w:rsid w:val="00F8079B"/>
    <w:rsid w:val="00F80EDB"/>
    <w:rsid w:val="00F8356A"/>
    <w:rsid w:val="00F836D3"/>
    <w:rsid w:val="00F8377D"/>
    <w:rsid w:val="00F842D9"/>
    <w:rsid w:val="00F850D0"/>
    <w:rsid w:val="00F86D4C"/>
    <w:rsid w:val="00F90875"/>
    <w:rsid w:val="00F90BDE"/>
    <w:rsid w:val="00F90FC8"/>
    <w:rsid w:val="00F910D5"/>
    <w:rsid w:val="00F9226A"/>
    <w:rsid w:val="00F92E8A"/>
    <w:rsid w:val="00F95925"/>
    <w:rsid w:val="00F96D96"/>
    <w:rsid w:val="00F97A50"/>
    <w:rsid w:val="00FA070B"/>
    <w:rsid w:val="00FA13AF"/>
    <w:rsid w:val="00FA1F50"/>
    <w:rsid w:val="00FA2342"/>
    <w:rsid w:val="00FA4FEC"/>
    <w:rsid w:val="00FA5A1F"/>
    <w:rsid w:val="00FA663D"/>
    <w:rsid w:val="00FA78A9"/>
    <w:rsid w:val="00FA7E3B"/>
    <w:rsid w:val="00FB0C90"/>
    <w:rsid w:val="00FB31F7"/>
    <w:rsid w:val="00FB4DF4"/>
    <w:rsid w:val="00FB5CFD"/>
    <w:rsid w:val="00FB7564"/>
    <w:rsid w:val="00FC137D"/>
    <w:rsid w:val="00FC2147"/>
    <w:rsid w:val="00FC4422"/>
    <w:rsid w:val="00FC4818"/>
    <w:rsid w:val="00FC52F3"/>
    <w:rsid w:val="00FC59DF"/>
    <w:rsid w:val="00FD5388"/>
    <w:rsid w:val="00FD6CEA"/>
    <w:rsid w:val="00FE110A"/>
    <w:rsid w:val="00FE222E"/>
    <w:rsid w:val="00FF2C8B"/>
    <w:rsid w:val="00FF2FD9"/>
    <w:rsid w:val="00FF4196"/>
    <w:rsid w:val="00FF56F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40280-01ED-467E-BB44-714A89D5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864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0A1D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84F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1E221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84F7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aliases w:val="Стиль Знак Знак Знак Знак Знак Знак Знак Знак Знак Знак Знак Знак1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 Знак Знак Знак Знак Знак Знак Знак Знак Знак Знак Знак Знак1 Знак Знак Знак Знак Знак Знак Знак"/>
    <w:basedOn w:val="a"/>
    <w:rsid w:val="00E1486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3">
    <w:name w:val="Body Text"/>
    <w:aliases w:val="Знак Знак Знак,Основний текст Знак Знак Знак,Основний текст Знак Знак Знак Знак,Основний текст Знак Знак Знак Знак Знак Знак Знак Знак Знак Знак Знак Знак Знак"/>
    <w:basedOn w:val="a"/>
    <w:link w:val="a4"/>
    <w:rsid w:val="00E14864"/>
    <w:pPr>
      <w:spacing w:after="120"/>
    </w:pPr>
  </w:style>
  <w:style w:type="paragraph" w:styleId="31">
    <w:name w:val="Body Text Indent 3"/>
    <w:basedOn w:val="a"/>
    <w:rsid w:val="00E148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E14864"/>
    <w:pPr>
      <w:spacing w:after="120" w:line="480" w:lineRule="auto"/>
      <w:ind w:left="283"/>
    </w:pPr>
  </w:style>
  <w:style w:type="character" w:customStyle="1" w:styleId="a4">
    <w:name w:val="Основной текст Знак"/>
    <w:aliases w:val="Знак Знак Знак Знак,Основний текст Знак Знак Знак Знак1,Основний текст Знак Знак Знак Знак Знак,Основний текст Знак Знак Знак Знак Знак Знак Знак Знак Знак Знак Знак Знак Знак Знак"/>
    <w:link w:val="a3"/>
    <w:rsid w:val="00E14864"/>
    <w:rPr>
      <w:sz w:val="24"/>
      <w:szCs w:val="24"/>
      <w:lang w:val="ru-RU" w:eastAsia="ru-RU" w:bidi="ar-S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073EA5"/>
    <w:rPr>
      <w:rFonts w:ascii="Verdana" w:hAnsi="Verdana" w:cs="Verdana"/>
      <w:sz w:val="20"/>
      <w:szCs w:val="20"/>
      <w:lang w:val="en-US" w:eastAsia="en-US"/>
    </w:rPr>
  </w:style>
  <w:style w:type="paragraph" w:customStyle="1" w:styleId="Iiiaeuiue">
    <w:name w:val="Ii?iaeuiue"/>
    <w:rsid w:val="00910090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 w:eastAsia="ru-RU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 Знак"/>
    <w:basedOn w:val="a"/>
    <w:rsid w:val="00910090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rsid w:val="00910090"/>
    <w:pPr>
      <w:autoSpaceDE w:val="0"/>
      <w:autoSpaceDN w:val="0"/>
      <w:adjustRightInd w:val="0"/>
      <w:spacing w:after="120" w:line="480" w:lineRule="auto"/>
    </w:pPr>
    <w:rPr>
      <w:rFonts w:ascii="Antiqua" w:hAnsi="Antiqua" w:cs="Antiqua"/>
      <w:color w:val="000000"/>
      <w:lang w:val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"/>
    <w:basedOn w:val="a"/>
    <w:rsid w:val="00B81956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1 Знак Знак"/>
    <w:basedOn w:val="a"/>
    <w:rsid w:val="003E07AC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3E07AC"/>
    <w:pPr>
      <w:spacing w:after="120"/>
      <w:ind w:left="283"/>
    </w:pPr>
    <w:rPr>
      <w:lang w:val="uk-UA"/>
    </w:rPr>
  </w:style>
  <w:style w:type="paragraph" w:styleId="a6">
    <w:name w:val="header"/>
    <w:basedOn w:val="a"/>
    <w:rsid w:val="00F731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31AB"/>
  </w:style>
  <w:style w:type="table" w:styleId="a8">
    <w:name w:val="Table Grid"/>
    <w:basedOn w:val="a1"/>
    <w:uiPriority w:val="39"/>
    <w:rsid w:val="00EE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2">
    <w:name w:val="Char Знак Знак Char Знак Знак Char Знак Знак Char Знак Знак"/>
    <w:basedOn w:val="a"/>
    <w:rsid w:val="00EE0E00"/>
    <w:rPr>
      <w:rFonts w:ascii="Verdana" w:hAnsi="Verdana" w:cs="Verdana"/>
      <w:sz w:val="20"/>
      <w:szCs w:val="20"/>
      <w:lang w:val="en-US" w:eastAsia="en-US"/>
    </w:rPr>
  </w:style>
  <w:style w:type="paragraph" w:customStyle="1" w:styleId="BodyText">
    <w:name w:val="Body Text"/>
    <w:basedOn w:val="a"/>
    <w:rsid w:val="00EE0E00"/>
    <w:pPr>
      <w:jc w:val="both"/>
    </w:pPr>
    <w:rPr>
      <w:snapToGrid w:val="0"/>
      <w:sz w:val="28"/>
      <w:szCs w:val="20"/>
      <w:lang w:val="uk-UA"/>
    </w:rPr>
  </w:style>
  <w:style w:type="paragraph" w:styleId="a9">
    <w:name w:val="footer"/>
    <w:basedOn w:val="a"/>
    <w:rsid w:val="00EE0E00"/>
    <w:pPr>
      <w:tabs>
        <w:tab w:val="center" w:pos="4677"/>
        <w:tab w:val="right" w:pos="9355"/>
      </w:tabs>
    </w:pPr>
  </w:style>
  <w:style w:type="paragraph" w:customStyle="1" w:styleId="aa">
    <w:name w:val="Стиль Знак Знак Знак Знак Знак Знак Знак Знак Знак Знак"/>
    <w:basedOn w:val="a"/>
    <w:rsid w:val="006979FF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b">
    <w:name w:val="Стиль Знак Знак"/>
    <w:basedOn w:val="a"/>
    <w:rsid w:val="0065171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CharCharCharChar3">
    <w:name w:val="Char Знак Знак Char Знак Знак Char Знак Знак Char Знак Знак Знак Знак"/>
    <w:basedOn w:val="a"/>
    <w:rsid w:val="001E7CD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 Знак Знак Знак Знак Знак Знак Знак Знак Знак Знак Знак Знак"/>
    <w:basedOn w:val="a"/>
    <w:rsid w:val="00053976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d">
    <w:name w:val="Обычный (веб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uiPriority w:val="99"/>
    <w:rsid w:val="007F0272"/>
    <w:pPr>
      <w:spacing w:before="100" w:beforeAutospacing="1" w:after="100" w:afterAutospacing="1"/>
    </w:pPr>
  </w:style>
  <w:style w:type="paragraph" w:customStyle="1" w:styleId="ae">
    <w:name w:val="Стиль Знак Знак Знак Знак Знак"/>
    <w:basedOn w:val="a"/>
    <w:rsid w:val="00D233FA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">
    <w:name w:val=" Знак Знак Знак Знак Знак"/>
    <w:basedOn w:val="a"/>
    <w:rsid w:val="009F1F5A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0">
    <w:name w:val="Нормальний текст"/>
    <w:basedOn w:val="a"/>
    <w:rsid w:val="009F1F5A"/>
    <w:pPr>
      <w:spacing w:before="120"/>
      <w:ind w:firstLine="567"/>
    </w:pPr>
    <w:rPr>
      <w:lang w:val="uk-UA"/>
    </w:rPr>
  </w:style>
  <w:style w:type="paragraph" w:customStyle="1" w:styleId="af1">
    <w:name w:val=" Знак"/>
    <w:basedOn w:val="a"/>
    <w:rsid w:val="005B1663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 Знак Знак Знак Знак Знак Знак Знак Знак Знак Знак Знак Знак Знак Знак Знак Знак Знак Знак Знак Знак"/>
    <w:basedOn w:val="a"/>
    <w:rsid w:val="003E4A1C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3">
    <w:name w:val="Balloon Text"/>
    <w:basedOn w:val="a"/>
    <w:semiHidden/>
    <w:rsid w:val="00BF3850"/>
    <w:rPr>
      <w:rFonts w:ascii="Tahoma" w:hAnsi="Tahoma"/>
      <w:sz w:val="16"/>
      <w:szCs w:val="16"/>
    </w:rPr>
  </w:style>
  <w:style w:type="paragraph" w:customStyle="1" w:styleId="af4">
    <w:name w:val="Знак Знак Знак Знак Знак Знак Знак Знак"/>
    <w:basedOn w:val="a"/>
    <w:rsid w:val="009E56A7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"/>
    <w:basedOn w:val="a"/>
    <w:rsid w:val="001E221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DA3F8C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тиль Знак Знак Знак Знак Знак Знак"/>
    <w:basedOn w:val="a"/>
    <w:rsid w:val="00716029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8">
    <w:name w:val="Стиль Знак Знак Знак Знак Знак Знак Знак Знак"/>
    <w:basedOn w:val="a"/>
    <w:rsid w:val="00556591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9">
    <w:name w:val=" Знак Знак Знак Знак Знак Знак Знак Знак Знак Знак"/>
    <w:basedOn w:val="a"/>
    <w:rsid w:val="00B72C3A"/>
    <w:rPr>
      <w:rFonts w:ascii="Verdana" w:hAnsi="Verdana" w:cs="Verdana"/>
      <w:sz w:val="20"/>
      <w:szCs w:val="20"/>
      <w:lang w:val="en-US" w:eastAsia="en-US"/>
    </w:rPr>
  </w:style>
  <w:style w:type="paragraph" w:customStyle="1" w:styleId="BodyTextIndent">
    <w:name w:val="Body Text Indent"/>
    <w:basedOn w:val="a"/>
    <w:rsid w:val="00F22C8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afa">
    <w:name w:val=" Знак Знак Знак Знак"/>
    <w:basedOn w:val="a"/>
    <w:rsid w:val="00EC56A7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Стиль Знак Знак Знак Знак Знак Знак Знак"/>
    <w:basedOn w:val="a"/>
    <w:rsid w:val="003A6A7D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fc">
    <w:name w:val="Основний текст Знак Знак Знак Знак Знак Знак Знак Знак Знак Знак Знак Знак Знак Знак Знак Знак "/>
    <w:rsid w:val="008E6D01"/>
    <w:rPr>
      <w:sz w:val="24"/>
      <w:szCs w:val="24"/>
      <w:lang w:val="ru-RU" w:eastAsia="ru-RU" w:bidi="ar-SA"/>
    </w:rPr>
  </w:style>
  <w:style w:type="paragraph" w:styleId="32">
    <w:name w:val="Body Text 3"/>
    <w:basedOn w:val="a"/>
    <w:rsid w:val="005442C2"/>
    <w:pPr>
      <w:spacing w:after="120"/>
    </w:pPr>
    <w:rPr>
      <w:sz w:val="16"/>
      <w:szCs w:val="16"/>
    </w:rPr>
  </w:style>
  <w:style w:type="paragraph" w:customStyle="1" w:styleId="afd">
    <w:name w:val=" Знак Знак Знак Знак Знак Знак Знак Знак Знак Знак Знак Знак Знак Знак Знак Знак Знак Знак Знак Знак Знак Знак Знак"/>
    <w:basedOn w:val="a"/>
    <w:rsid w:val="005442C2"/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 + Полужирный"/>
    <w:rsid w:val="005442C2"/>
    <w:rPr>
      <w:rFonts w:eastAsia="Arial Unicode MS"/>
      <w:b/>
      <w:bCs/>
      <w:sz w:val="27"/>
      <w:szCs w:val="27"/>
      <w:lang w:val="uk-UA" w:eastAsia="ru-RU" w:bidi="ar-SA"/>
    </w:rPr>
  </w:style>
  <w:style w:type="paragraph" w:customStyle="1" w:styleId="22">
    <w:name w:val=" Знак Знак2"/>
    <w:basedOn w:val="a"/>
    <w:rsid w:val="005442C2"/>
    <w:rPr>
      <w:rFonts w:ascii="Verdana" w:hAnsi="Verdana" w:cs="Verdana"/>
      <w:sz w:val="20"/>
      <w:szCs w:val="20"/>
      <w:lang w:val="uk-UA" w:eastAsia="en-US"/>
    </w:rPr>
  </w:style>
  <w:style w:type="paragraph" w:customStyle="1" w:styleId="11">
    <w:name w:val=" Знак Знак1 Знак Знак Знак Знак Знак Знак Знак Знак"/>
    <w:basedOn w:val="a"/>
    <w:rsid w:val="005442C2"/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uiPriority w:val="22"/>
    <w:qFormat/>
    <w:rsid w:val="005442C2"/>
    <w:rPr>
      <w:b/>
      <w:bCs/>
    </w:rPr>
  </w:style>
  <w:style w:type="paragraph" w:customStyle="1" w:styleId="aff0">
    <w:name w:val=" Знак Знак Знак Знак Знак Знак Знак Знак Знак Знак Знак Знак Знак Знак Знак Знак Знак Знак Знак Знак Знак"/>
    <w:basedOn w:val="a"/>
    <w:rsid w:val="001D5EDB"/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 Знак"/>
    <w:basedOn w:val="a"/>
    <w:link w:val="StyleZakonu0"/>
    <w:rsid w:val="00BD01B5"/>
    <w:pPr>
      <w:spacing w:before="120" w:after="60" w:line="220" w:lineRule="exact"/>
      <w:ind w:firstLine="284"/>
      <w:jc w:val="both"/>
    </w:pPr>
    <w:rPr>
      <w:sz w:val="20"/>
      <w:szCs w:val="20"/>
      <w:lang w:val="x-none" w:eastAsia="x-none"/>
    </w:rPr>
  </w:style>
  <w:style w:type="character" w:customStyle="1" w:styleId="StyleZakonu0">
    <w:name w:val="StyleZakonu Знак Знак"/>
    <w:link w:val="StyleZakonu"/>
    <w:locked/>
    <w:rsid w:val="00BD01B5"/>
    <w:rPr>
      <w:lang w:val="x-none"/>
    </w:rPr>
  </w:style>
  <w:style w:type="paragraph" w:customStyle="1" w:styleId="aff1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a0"/>
    <w:rsid w:val="0062176D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B84F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84F7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ntStyle13">
    <w:name w:val="Font Style13"/>
    <w:rsid w:val="00B84F7E"/>
    <w:rPr>
      <w:rFonts w:ascii="Times New Roman" w:hAnsi="Times New Roman" w:cs="Times New Roman"/>
      <w:sz w:val="24"/>
      <w:szCs w:val="24"/>
    </w:rPr>
  </w:style>
  <w:style w:type="paragraph" w:customStyle="1" w:styleId="12">
    <w:name w:val=" Знак1 Знак Знак"/>
    <w:basedOn w:val="a"/>
    <w:rsid w:val="00B5255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D2F8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Normal">
    <w:name w:val="Normal"/>
    <w:rsid w:val="00BE6AD3"/>
    <w:rPr>
      <w:lang w:val="ru-RU" w:eastAsia="ru-RU"/>
    </w:rPr>
  </w:style>
  <w:style w:type="paragraph" w:customStyle="1" w:styleId="13">
    <w:name w:val="Знак Знак1 Знак Знак Знак Знак Знак Знак Знак Знак"/>
    <w:basedOn w:val="a"/>
    <w:rsid w:val="001E1A35"/>
    <w:rPr>
      <w:rFonts w:ascii="Verdana" w:hAnsi="Verdana" w:cs="Verdana"/>
      <w:sz w:val="20"/>
      <w:szCs w:val="20"/>
      <w:lang w:val="en-US" w:eastAsia="en-US"/>
    </w:rPr>
  </w:style>
  <w:style w:type="paragraph" w:styleId="aff2">
    <w:name w:val="List Paragraph"/>
    <w:basedOn w:val="a"/>
    <w:link w:val="aff3"/>
    <w:uiPriority w:val="34"/>
    <w:qFormat/>
    <w:rsid w:val="007823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3">
    <w:name w:val="Абзац списка Знак"/>
    <w:link w:val="aff2"/>
    <w:uiPriority w:val="34"/>
    <w:locked/>
    <w:rsid w:val="007823B5"/>
    <w:rPr>
      <w:rFonts w:ascii="Calibri" w:hAnsi="Calibri"/>
      <w:sz w:val="22"/>
      <w:szCs w:val="22"/>
    </w:rPr>
  </w:style>
  <w:style w:type="paragraph" w:customStyle="1" w:styleId="rvps2">
    <w:name w:val="rvps2"/>
    <w:basedOn w:val="a"/>
    <w:rsid w:val="005C78A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797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Структура власних доходів загального фонду у 2023 році</a:t>
            </a:r>
          </a:p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 sz="1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C7A-49A3-B261-5D6881402F7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4C7A-49A3-B261-5D6881402F7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4C7A-49A3-B261-5D6881402F7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4C7A-49A3-B261-5D6881402F7C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4C7A-49A3-B261-5D6881402F7C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4C7A-49A3-B261-5D6881402F7C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4C7A-49A3-B261-5D6881402F7C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4C7A-49A3-B261-5D6881402F7C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4C7A-49A3-B261-5D6881402F7C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4C7A-49A3-B261-5D6881402F7C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4C7A-49A3-B261-5D6881402F7C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4C7A-49A3-B261-5D6881402F7C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4C7A-49A3-B261-5D6881402F7C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0D-4C7A-49A3-B261-5D6881402F7C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0E-4C7A-49A3-B261-5D6881402F7C}"/>
              </c:ext>
            </c:extLst>
          </c:dPt>
          <c:dLbls>
            <c:dLbl>
              <c:idx val="0"/>
              <c:layout>
                <c:manualLayout>
                  <c:x val="-0.17119147807841736"/>
                  <c:y val="1.0578491877704477E-3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998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Податок та збір на доходи фізичних осіб 53260,0 тис.грн. 53,1%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C7A-49A3-B261-5D6881402F7C}"/>
                </c:ext>
              </c:extLst>
            </c:dLbl>
            <c:dLbl>
              <c:idx val="1"/>
              <c:layout>
                <c:manualLayout>
                  <c:x val="-0.14641288433382138"/>
                  <c:y val="9.8088245726041007E-4"/>
                </c:manualLayout>
              </c:layout>
              <c:spPr/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7A-49A3-B261-5D6881402F7C}"/>
                </c:ext>
              </c:extLst>
            </c:dLbl>
            <c:dLbl>
              <c:idx val="2"/>
              <c:layout>
                <c:manualLayout>
                  <c:x val="0.10797416062377269"/>
                  <c:y val="-0.10131233595800525"/>
                </c:manualLayout>
              </c:layout>
              <c:tx>
                <c:rich>
                  <a:bodyPr/>
                  <a:lstStyle/>
                  <a:p>
                    <a:pPr>
                      <a:defRPr sz="99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/>
                      <a:t>Податок на прибуток; 3,1 тис.грн.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C7A-49A3-B261-5D6881402F7C}"/>
                </c:ext>
              </c:extLst>
            </c:dLbl>
            <c:dLbl>
              <c:idx val="3"/>
              <c:layout>
                <c:manualLayout>
                  <c:x val="0.13543983429596915"/>
                  <c:y val="-3.3555011704618004E-3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998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Рентна плата за використання природних ресурсів; 620,0 тис.грн.          0,6%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C7A-49A3-B261-5D6881402F7C}"/>
                </c:ext>
              </c:extLst>
            </c:dLbl>
            <c:dLbl>
              <c:idx val="4"/>
              <c:layout>
                <c:manualLayout>
                  <c:x val="8.8888888888888892E-2"/>
                  <c:y val="4.8890647463036972E-2"/>
                </c:manualLayout>
              </c:layout>
              <c:spPr/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7A-49A3-B261-5D6881402F7C}"/>
                </c:ext>
              </c:extLst>
            </c:dLbl>
            <c:dLbl>
              <c:idx val="5"/>
              <c:layout>
                <c:manualLayout>
                  <c:x val="1.3633844817714038E-2"/>
                  <c:y val="1.8557317159679364E-2"/>
                </c:manualLayout>
              </c:layout>
              <c:spPr/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7A-49A3-B261-5D6881402F7C}"/>
                </c:ext>
              </c:extLst>
            </c:dLbl>
            <c:dLbl>
              <c:idx val="6"/>
              <c:layout>
                <c:manualLayout>
                  <c:x val="-7.673418567920591E-2"/>
                  <c:y val="1.9457154004398097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998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Акцизний податок; 5110,0 тис.грн.           5,1%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4C7A-49A3-B261-5D6881402F7C}"/>
                </c:ext>
              </c:extLst>
            </c:dLbl>
            <c:dLbl>
              <c:idx val="7"/>
              <c:layout>
                <c:manualLayout>
                  <c:x val="0.14383755471268872"/>
                  <c:y val="-0.14675480598708945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998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Плата за землю; 19850,0 тис.грн. 19,8%       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4C7A-49A3-B261-5D6881402F7C}"/>
                </c:ext>
              </c:extLst>
            </c:dLbl>
            <c:dLbl>
              <c:idx val="8"/>
              <c:layout>
                <c:manualLayout>
                  <c:x val="0"/>
                  <c:y val="8.6209299851032137E-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998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Транспортний податок;                      </a:t>
                    </a:r>
                  </a:p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998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31,2 тис.грн.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4C7A-49A3-B261-5D6881402F7C}"/>
                </c:ext>
              </c:extLst>
            </c:dLbl>
            <c:dLbl>
              <c:idx val="9"/>
              <c:layout>
                <c:manualLayout>
                  <c:x val="1.614000299741991E-5"/>
                  <c:y val="8.0465347237000703E-2"/>
                </c:manualLayout>
              </c:layout>
              <c:spPr/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7A-49A3-B261-5D6881402F7C}"/>
                </c:ext>
              </c:extLst>
            </c:dLbl>
            <c:dLbl>
              <c:idx val="10"/>
              <c:layout>
                <c:manualLayout>
                  <c:x val="0"/>
                  <c:y val="6.6925941689721213E-2"/>
                </c:manualLayout>
              </c:layout>
              <c:spPr/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C7A-49A3-B261-5D6881402F7C}"/>
                </c:ext>
              </c:extLst>
            </c:dLbl>
            <c:dLbl>
              <c:idx val="11"/>
              <c:layout>
                <c:manualLayout>
                  <c:x val="0.15812591508052709"/>
                  <c:y val="5.055330921472654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998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Единий податок; 17100,0 тис.грн.  17,0%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4C7A-49A3-B261-5D6881402F7C}"/>
                </c:ext>
              </c:extLst>
            </c:dLbl>
            <c:dLbl>
              <c:idx val="12"/>
              <c:layout>
                <c:manualLayout>
                  <c:x val="-3.6361182935342594E-2"/>
                  <c:y val="-3.2003319172732275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998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Податок на нерухоме майно, відмінне від земельної ділянки; 3378,5тис.грн. 3,4%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4C7A-49A3-B261-5D6881402F7C}"/>
                </c:ext>
              </c:extLst>
            </c:dLbl>
            <c:dLbl>
              <c:idx val="13"/>
              <c:layout>
                <c:manualLayout>
                  <c:x val="0.14011136602068225"/>
                  <c:y val="-1.1827161807476769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uk-UA" sz="998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Неподаткові надходження;      968,0 тис.грн.   1,0%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4C7A-49A3-B261-5D6881402F7C}"/>
                </c:ext>
              </c:extLst>
            </c:dLbl>
            <c:dLbl>
              <c:idx val="14"/>
              <c:layout>
                <c:manualLayout>
                  <c:x val="0.21073463913643306"/>
                  <c:y val="-9.0655813293608577E-3"/>
                </c:manualLayout>
              </c:layout>
              <c:spPr/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C7A-49A3-B261-5D6881402F7C}"/>
                </c:ext>
              </c:extLst>
            </c:dLbl>
            <c:dLbl>
              <c:idx val="15"/>
              <c:layout>
                <c:manualLayout>
                  <c:x val="0.13654611621570731"/>
                  <c:y val="-1.5633645456480102E-2"/>
                </c:manualLayout>
              </c:layout>
              <c:spPr/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C7A-49A3-B261-5D6881402F7C}"/>
                </c:ext>
              </c:extLst>
            </c:dLbl>
            <c:dLbl>
              <c:idx val="16"/>
              <c:layout>
                <c:manualLayout>
                  <c:x val="0.24391249044089108"/>
                  <c:y val="-3.9386039582889974E-3"/>
                </c:manualLayout>
              </c:layout>
              <c:spPr/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C7A-49A3-B261-5D6881402F7C}"/>
                </c:ext>
              </c:extLst>
            </c:dLbl>
            <c:spPr>
              <a:noFill/>
              <a:ln w="2535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4"/>
                <c:pt idx="0">
                  <c:v>Податок та збір на доходи фізичних осіб</c:v>
                </c:pt>
                <c:pt idx="3">
                  <c:v>Рентна плата за використання природних ресурсів</c:v>
                </c:pt>
                <c:pt idx="6">
                  <c:v>Акцизний податок</c:v>
                </c:pt>
                <c:pt idx="7">
                  <c:v>Плата за землю</c:v>
                </c:pt>
                <c:pt idx="11">
                  <c:v>Единий податок </c:v>
                </c:pt>
                <c:pt idx="12">
                  <c:v>Податок на нерухоме майно, відмінне від земельної ділянки </c:v>
                </c:pt>
                <c:pt idx="13">
                  <c:v>Неподаткові надходження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45992.1</c:v>
                </c:pt>
                <c:pt idx="3">
                  <c:v>1017.3</c:v>
                </c:pt>
                <c:pt idx="6">
                  <c:v>5700</c:v>
                </c:pt>
                <c:pt idx="7">
                  <c:v>20042.900000000001</c:v>
                </c:pt>
                <c:pt idx="11">
                  <c:v>18640.7</c:v>
                </c:pt>
                <c:pt idx="12">
                  <c:v>2768.1</c:v>
                </c:pt>
                <c:pt idx="13">
                  <c:v>988.7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4C7A-49A3-B261-5D6881402F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12-4C7A-49A3-B261-5D6881402F7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4C7A-49A3-B261-5D6881402F7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4-4C7A-49A3-B261-5D6881402F7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5-4C7A-49A3-B261-5D6881402F7C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6-4C7A-49A3-B261-5D6881402F7C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17-4C7A-49A3-B261-5D6881402F7C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18-4C7A-49A3-B261-5D6881402F7C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19-4C7A-49A3-B261-5D6881402F7C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1A-4C7A-49A3-B261-5D6881402F7C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B-4C7A-49A3-B261-5D6881402F7C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1C-4C7A-49A3-B261-5D6881402F7C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1D-4C7A-49A3-B261-5D6881402F7C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1E-4C7A-49A3-B261-5D6881402F7C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1F-4C7A-49A3-B261-5D6881402F7C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20-4C7A-49A3-B261-5D6881402F7C}"/>
              </c:ext>
            </c:extLst>
          </c:dPt>
          <c:cat>
            <c:strRef>
              <c:f>Лист1!$A$2:$A$16</c:f>
              <c:strCache>
                <c:ptCount val="14"/>
                <c:pt idx="0">
                  <c:v>Податок та збір на доходи фізичних осіб</c:v>
                </c:pt>
                <c:pt idx="3">
                  <c:v>Рентна плата за використання природних ресурсів</c:v>
                </c:pt>
                <c:pt idx="6">
                  <c:v>Акцизний податок</c:v>
                </c:pt>
                <c:pt idx="7">
                  <c:v>Плата за землю</c:v>
                </c:pt>
                <c:pt idx="11">
                  <c:v>Единий податок </c:v>
                </c:pt>
                <c:pt idx="12">
                  <c:v>Податок на нерухоме майно, відмінне від земельної ділянки </c:v>
                </c:pt>
                <c:pt idx="13">
                  <c:v>Неподаткові надходження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48.33651778563906</c:v>
                </c:pt>
                <c:pt idx="1">
                  <c:v>0</c:v>
                </c:pt>
                <c:pt idx="2">
                  <c:v>0</c:v>
                </c:pt>
                <c:pt idx="3">
                  <c:v>1.0691562147266731</c:v>
                </c:pt>
                <c:pt idx="4">
                  <c:v>0</c:v>
                </c:pt>
                <c:pt idx="5">
                  <c:v>0</c:v>
                </c:pt>
                <c:pt idx="6">
                  <c:v>5.9905538424673512</c:v>
                </c:pt>
                <c:pt idx="7">
                  <c:v>21.064573966524364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19.590897721277397</c:v>
                </c:pt>
                <c:pt idx="12">
                  <c:v>2.9092021212866448</c:v>
                </c:pt>
                <c:pt idx="13">
                  <c:v>1.0390983480785037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4C7A-49A3-B261-5D6881402F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22-4C7A-49A3-B261-5D6881402F7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23-4C7A-49A3-B261-5D6881402F7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24-4C7A-49A3-B261-5D6881402F7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25-4C7A-49A3-B261-5D6881402F7C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26-4C7A-49A3-B261-5D6881402F7C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27-4C7A-49A3-B261-5D6881402F7C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28-4C7A-49A3-B261-5D6881402F7C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29-4C7A-49A3-B261-5D6881402F7C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2A-4C7A-49A3-B261-5D6881402F7C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2B-4C7A-49A3-B261-5D6881402F7C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2C-4C7A-49A3-B261-5D6881402F7C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2D-4C7A-49A3-B261-5D6881402F7C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2E-4C7A-49A3-B261-5D6881402F7C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2F-4C7A-49A3-B261-5D6881402F7C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30-4C7A-49A3-B261-5D6881402F7C}"/>
              </c:ext>
            </c:extLst>
          </c:dPt>
          <c:cat>
            <c:strRef>
              <c:f>Лист1!$A$2:$A$16</c:f>
              <c:strCache>
                <c:ptCount val="14"/>
                <c:pt idx="0">
                  <c:v>Податок та збір на доходи фізичних осіб</c:v>
                </c:pt>
                <c:pt idx="3">
                  <c:v>Рентна плата за використання природних ресурсів</c:v>
                </c:pt>
                <c:pt idx="6">
                  <c:v>Акцизний податок</c:v>
                </c:pt>
                <c:pt idx="7">
                  <c:v>Плата за землю</c:v>
                </c:pt>
                <c:pt idx="11">
                  <c:v>Единий податок </c:v>
                </c:pt>
                <c:pt idx="12">
                  <c:v>Податок на нерухоме майно, відмінне від земельної ділянки </c:v>
                </c:pt>
                <c:pt idx="13">
                  <c:v>Неподаткові надходження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48.3</c:v>
                </c:pt>
                <c:pt idx="3">
                  <c:v>1.1000000000000001</c:v>
                </c:pt>
                <c:pt idx="6">
                  <c:v>6</c:v>
                </c:pt>
                <c:pt idx="7">
                  <c:v>21.1</c:v>
                </c:pt>
                <c:pt idx="11">
                  <c:v>19.600000000000001</c:v>
                </c:pt>
                <c:pt idx="12">
                  <c:v>2.9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4C7A-49A3-B261-5D6881402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7">
          <a:noFill/>
        </a:ln>
      </c:spPr>
    </c:plotArea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2021 рік</c:v>
                </c:pt>
                <c:pt idx="1">
                  <c:v>очикувані у 2022році</c:v>
                </c:pt>
                <c:pt idx="2">
                  <c:v>прогнозні показники на 2023 рік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92C4-4A8C-AA42-C6E0FFCDDB07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49404,7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2C4-4A8C-AA42-C6E0FFCDDB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2021 рік</c:v>
                </c:pt>
                <c:pt idx="1">
                  <c:v>очикувані у 2022році</c:v>
                </c:pt>
                <c:pt idx="2">
                  <c:v>прогнозні показники на 2023 рік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49404.7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C4-4A8C-AA42-C6E0FFCDDB07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52276,4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2C4-4A8C-AA42-C6E0FFCDDB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2021 рік</c:v>
                </c:pt>
                <c:pt idx="1">
                  <c:v>очикувані у 2022році</c:v>
                </c:pt>
                <c:pt idx="2">
                  <c:v>прогнозні показники на 2023 рік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1">
                  <c:v>52276.4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C4-4A8C-AA42-C6E0FFCDDB07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53260,0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92C4-4A8C-AA42-C6E0FFCDDB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2021 рік</c:v>
                </c:pt>
                <c:pt idx="1">
                  <c:v>очикувані у 2022році</c:v>
                </c:pt>
                <c:pt idx="2">
                  <c:v>прогнозні показники на 2023 рік</c:v>
                </c:pt>
              </c:strCache>
            </c:strRef>
          </c:cat>
          <c:val>
            <c:numRef>
              <c:f>Лист1!$E$3:$E$5</c:f>
              <c:numCache>
                <c:formatCode>General</c:formatCode>
                <c:ptCount val="3"/>
                <c:pt idx="2">
                  <c:v>53260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2C4-4A8C-AA42-C6E0FFCDD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23881007"/>
        <c:axId val="1"/>
      </c:barChart>
      <c:catAx>
        <c:axId val="14238810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3881007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/>
      </a:pPr>
      <a:endParaRPr lang="uk-UA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місцевих податків у  202</a:t>
            </a:r>
            <a:r>
              <a:rPr lang="en-US"/>
              <a:t>3</a:t>
            </a:r>
            <a:r>
              <a:rPr lang="ru-RU"/>
              <a:t> році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місцевих податків у  2021 році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162-4A6A-8E51-0B8C998A17C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2162-4A6A-8E51-0B8C998A17C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2162-4A6A-8E51-0B8C998A17C9}"/>
              </c:ext>
            </c:extLst>
          </c:dPt>
          <c:dLbls>
            <c:dLbl>
              <c:idx val="0"/>
              <c:layout>
                <c:manualLayout>
                  <c:x val="-0.20692466210299199"/>
                  <c:y val="2.7023497474812964E-2"/>
                </c:manualLayout>
              </c:layout>
              <c:tx>
                <c:rich>
                  <a:bodyPr/>
                  <a:lstStyle/>
                  <a:p>
                    <a:pPr>
                      <a:defRPr sz="1097" b="1"/>
                    </a:pPr>
                    <a:r>
                      <a:rPr lang="uk-UA" sz="1097" b="1"/>
                      <a:t>Единий</a:t>
                    </a:r>
                    <a:r>
                      <a:rPr lang="uk-UA" sz="1097" b="1" baseline="0"/>
                      <a:t> податок </a:t>
                    </a:r>
                    <a:r>
                      <a:rPr lang="uk-UA" sz="1097" b="1"/>
                      <a:t>1</a:t>
                    </a:r>
                    <a:r>
                      <a:rPr lang="en-US" sz="1097" b="1"/>
                      <a:t>7100</a:t>
                    </a:r>
                    <a:r>
                      <a:rPr lang="uk-UA" sz="1097" b="1"/>
                      <a:t>,</a:t>
                    </a:r>
                    <a:r>
                      <a:rPr lang="en-US" sz="1097" b="1"/>
                      <a:t>0</a:t>
                    </a:r>
                    <a:r>
                      <a:rPr lang="uk-UA" sz="1097" b="1"/>
                      <a:t> тис.грн.</a:t>
                    </a:r>
                    <a:endParaRPr lang="en-US" sz="1100" b="1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162-4A6A-8E51-0B8C998A17C9}"/>
                </c:ext>
              </c:extLst>
            </c:dLbl>
            <c:dLbl>
              <c:idx val="1"/>
              <c:layout>
                <c:manualLayout>
                  <c:x val="0.14194882157962088"/>
                  <c:y val="-1.7179211523119223E-3"/>
                </c:manualLayout>
              </c:layout>
              <c:tx>
                <c:rich>
                  <a:bodyPr/>
                  <a:lstStyle/>
                  <a:p>
                    <a:pPr>
                      <a:defRPr sz="1097" b="1"/>
                    </a:pPr>
                    <a:r>
                      <a:rPr lang="uk-UA" sz="1097" b="1"/>
                      <a:t>Податок на нерухоме майно, відмінне від земельної ділянки </a:t>
                    </a:r>
                    <a:r>
                      <a:rPr lang="en-US" sz="1097" b="1"/>
                      <a:t>3378,5</a:t>
                    </a:r>
                    <a:r>
                      <a:rPr lang="uk-UA" sz="1097" b="1"/>
                      <a:t> тис.грн.</a:t>
                    </a:r>
                    <a:endParaRPr lang="en-US" sz="1100" b="1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162-4A6A-8E51-0B8C998A17C9}"/>
                </c:ext>
              </c:extLst>
            </c:dLbl>
            <c:dLbl>
              <c:idx val="2"/>
              <c:layout>
                <c:manualLayout>
                  <c:x val="0.17417877750127289"/>
                  <c:y val="3.856184168374493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 sz="1097" b="1"/>
                      <a:t>Плата за землю </a:t>
                    </a:r>
                    <a:r>
                      <a:rPr lang="en-US" sz="1097" b="1"/>
                      <a:t>19850</a:t>
                    </a:r>
                    <a:r>
                      <a:rPr lang="uk-UA" sz="1097" b="1"/>
                      <a:t>,</a:t>
                    </a:r>
                    <a:r>
                      <a:rPr lang="en-US" sz="1097" b="1"/>
                      <a:t>0</a:t>
                    </a:r>
                    <a:r>
                      <a:rPr lang="uk-UA" sz="1097" b="1"/>
                      <a:t> тис.грн.</a:t>
                    </a:r>
                    <a:endParaRPr lang="en-US" sz="1100" b="1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162-4A6A-8E51-0B8C998A17C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Единий податок</c:v>
                </c:pt>
                <c:pt idx="1">
                  <c:v>Податок на нерухоме майно, відмінне від земельної ділянки</c:v>
                </c:pt>
                <c:pt idx="2">
                  <c:v>Плата за землю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18640.7</c:v>
                </c:pt>
                <c:pt idx="1">
                  <c:v>2768.1</c:v>
                </c:pt>
                <c:pt idx="2">
                  <c:v>20042.900000000001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62-4A6A-8E51-0B8C998A17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3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0.30527</cdr:x>
      <cdr:y>0.36928</cdr:y>
    </cdr:from>
    <cdr:to>
      <cdr:x>0.47194</cdr:x>
      <cdr:y>0.64691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>
          <a:off x="1850065" y="1456655"/>
          <a:ext cx="1010093" cy="1095158"/>
        </a:xfrm>
        <a:prstGeom xmlns:a="http://schemas.openxmlformats.org/drawingml/2006/main" prst="rightArrow">
          <a:avLst/>
        </a:prstGeom>
        <a:solidFill xmlns:a="http://schemas.openxmlformats.org/drawingml/2006/main">
          <a:schemeClr val="tx2">
            <a:lumMod val="60000"/>
            <a:lumOff val="4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ysClr val="windowText" lastClr="000000"/>
              </a:solidFill>
            </a:rPr>
            <a:t>+ </a:t>
          </a:r>
          <a:r>
            <a:rPr lang="en-US" sz="1100" b="1">
              <a:solidFill>
                <a:sysClr val="windowText" lastClr="000000"/>
              </a:solidFill>
            </a:rPr>
            <a:t>2871,7</a:t>
          </a:r>
          <a:r>
            <a:rPr lang="uk-UA" sz="1100" b="1">
              <a:solidFill>
                <a:sysClr val="windowText" lastClr="000000"/>
              </a:solidFill>
            </a:rPr>
            <a:t>  (+</a:t>
          </a:r>
          <a:r>
            <a:rPr lang="en-US" sz="1100" b="1">
              <a:solidFill>
                <a:sysClr val="windowText" lastClr="000000"/>
              </a:solidFill>
            </a:rPr>
            <a:t>5</a:t>
          </a:r>
          <a:r>
            <a:rPr lang="uk-UA" sz="1100" b="1">
              <a:solidFill>
                <a:sysClr val="windowText" lastClr="000000"/>
              </a:solidFill>
            </a:rPr>
            <a:t>,8%)</a:t>
          </a:r>
          <a:endParaRPr lang="ru-RU"/>
        </a:p>
      </cdr:txBody>
    </cdr:sp>
  </cdr:relSizeAnchor>
  <cdr:relSizeAnchor xmlns:cdr="http://schemas.openxmlformats.org/drawingml/2006/chartDrawing">
    <cdr:from>
      <cdr:x>0.60527</cdr:x>
      <cdr:y>0.1752</cdr:y>
    </cdr:from>
    <cdr:to>
      <cdr:x>0.76844</cdr:x>
      <cdr:y>0.45014</cdr:y>
    </cdr:to>
    <cdr:sp macro="" textlink="">
      <cdr:nvSpPr>
        <cdr:cNvPr id="4" name="Стрелка вправо 3"/>
        <cdr:cNvSpPr/>
      </cdr:nvSpPr>
      <cdr:spPr>
        <a:xfrm xmlns:a="http://schemas.openxmlformats.org/drawingml/2006/main">
          <a:off x="3668232" y="691109"/>
          <a:ext cx="988828" cy="1084528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</a:rPr>
            <a:t>+</a:t>
          </a:r>
          <a:r>
            <a:rPr lang="ru-RU" b="1" baseline="0">
              <a:solidFill>
                <a:sysClr val="windowText" lastClr="000000"/>
              </a:solidFill>
            </a:rPr>
            <a:t> </a:t>
          </a:r>
          <a:r>
            <a:rPr lang="en-US" b="1" baseline="0">
              <a:solidFill>
                <a:sysClr val="windowText" lastClr="000000"/>
              </a:solidFill>
            </a:rPr>
            <a:t>983,6  </a:t>
          </a:r>
          <a:r>
            <a:rPr lang="uk-UA" b="1" baseline="0">
              <a:solidFill>
                <a:sysClr val="windowText" lastClr="000000"/>
              </a:solidFill>
            </a:rPr>
            <a:t> </a:t>
          </a:r>
          <a:r>
            <a:rPr lang="ru-RU" b="1" baseline="0">
              <a:solidFill>
                <a:sysClr val="windowText" lastClr="000000"/>
              </a:solidFill>
            </a:rPr>
            <a:t>( +</a:t>
          </a:r>
          <a:r>
            <a:rPr lang="en-US" b="1" baseline="0">
              <a:solidFill>
                <a:sysClr val="windowText" lastClr="000000"/>
              </a:solidFill>
            </a:rPr>
            <a:t>1,</a:t>
          </a:r>
          <a:r>
            <a:rPr lang="ru-RU" b="1" baseline="0">
              <a:solidFill>
                <a:sysClr val="windowText" lastClr="000000"/>
              </a:solidFill>
            </a:rPr>
            <a:t>9%)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31EB-7D7E-4FEE-83D6-D11A59F7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22736</Words>
  <Characters>12960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соціально-економічний стан області і прогноз її розвитку на 2009 рік, які покладено в основу проекту обласного</vt:lpstr>
    </vt:vector>
  </TitlesOfParts>
  <Company>GFU</Company>
  <LinksUpToDate>false</LinksUpToDate>
  <CharactersWithSpaces>35625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соціально-економічний стан області і прогноз її розвитку на 2009 рік, які покладено в основу проекту обласного</dc:title>
  <dc:subject/>
  <dc:creator>u250203</dc:creator>
  <cp:keywords/>
  <cp:lastModifiedBy>RUSLAN</cp:lastModifiedBy>
  <cp:revision>2</cp:revision>
  <cp:lastPrinted>2022-12-12T12:19:00Z</cp:lastPrinted>
  <dcterms:created xsi:type="dcterms:W3CDTF">2022-12-30T09:20:00Z</dcterms:created>
  <dcterms:modified xsi:type="dcterms:W3CDTF">2022-12-30T09:20:00Z</dcterms:modified>
</cp:coreProperties>
</file>